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39ED">
      <w:pPr>
        <w:spacing w:line="276" w:lineRule="auto"/>
        <w:jc w:val="center"/>
        <w:rPr>
          <w:sz w:val="28"/>
          <w:szCs w:val="28"/>
          <w:lang w:val="en-US"/>
        </w:rPr>
      </w:pPr>
      <w:r>
        <w:rPr>
          <w:b/>
          <w:bCs/>
          <w:sz w:val="28"/>
          <w:szCs w:val="28"/>
          <w:lang w:val="en-US"/>
        </w:rPr>
        <w:t>MINISTRY OF HIGHER EDUCATION, SCIENCE AND INNOVATION</w:t>
      </w:r>
      <w:r>
        <w:rPr>
          <w:b/>
          <w:bCs/>
          <w:sz w:val="28"/>
          <w:szCs w:val="28"/>
          <w:lang w:val="en-US"/>
        </w:rPr>
        <w:br w:type="textWrapping"/>
      </w:r>
      <w:r>
        <w:rPr>
          <w:b/>
          <w:bCs/>
          <w:sz w:val="28"/>
          <w:szCs w:val="28"/>
          <w:lang w:val="en-US"/>
        </w:rPr>
        <w:t>OF THE REPUBLIC OF UZBEKISTAN</w:t>
      </w:r>
    </w:p>
    <w:p w14:paraId="34E25B6B">
      <w:pPr>
        <w:spacing w:line="276" w:lineRule="auto"/>
        <w:jc w:val="center"/>
        <w:rPr>
          <w:b/>
          <w:bCs/>
          <w:sz w:val="28"/>
          <w:szCs w:val="28"/>
          <w:lang w:val="en-US"/>
        </w:rPr>
      </w:pPr>
    </w:p>
    <w:p w14:paraId="15590CA5">
      <w:pPr>
        <w:spacing w:line="276" w:lineRule="auto"/>
        <w:jc w:val="center"/>
        <w:rPr>
          <w:sz w:val="28"/>
          <w:szCs w:val="28"/>
          <w:lang w:val="en-US"/>
        </w:rPr>
      </w:pPr>
      <w:r>
        <w:rPr>
          <w:b/>
          <w:bCs/>
          <w:sz w:val="28"/>
          <w:szCs w:val="28"/>
          <w:lang w:val="en-US"/>
        </w:rPr>
        <w:t>NAMANGAN STATE UNIVERSITY</w:t>
      </w:r>
    </w:p>
    <w:p w14:paraId="32DD2A50">
      <w:pPr>
        <w:jc w:val="center"/>
        <w:rPr>
          <w:b/>
          <w:sz w:val="28"/>
          <w:szCs w:val="28"/>
          <w:lang w:val="en-US"/>
        </w:rPr>
      </w:pPr>
    </w:p>
    <w:p w14:paraId="2CFDD17E">
      <w:pPr>
        <w:jc w:val="center"/>
        <w:rPr>
          <w:sz w:val="28"/>
          <w:szCs w:val="28"/>
          <w:lang w:val="uz-Cyrl-UZ"/>
        </w:rPr>
      </w:pPr>
    </w:p>
    <w:p w14:paraId="7AE391C5">
      <w:pPr>
        <w:ind w:left="4248"/>
        <w:jc w:val="center"/>
        <w:rPr>
          <w:rStyle w:val="9"/>
          <w:sz w:val="28"/>
          <w:szCs w:val="28"/>
          <w:lang w:val="en-US"/>
        </w:rPr>
      </w:pPr>
    </w:p>
    <w:p w14:paraId="5FB5F4C2">
      <w:pPr>
        <w:ind w:left="4248"/>
        <w:jc w:val="center"/>
        <w:rPr>
          <w:sz w:val="28"/>
          <w:szCs w:val="28"/>
          <w:lang w:val="en-US"/>
        </w:rPr>
      </w:pPr>
      <w:r>
        <w:rPr>
          <w:rStyle w:val="9"/>
          <w:sz w:val="28"/>
          <w:szCs w:val="28"/>
          <w:lang w:val="en-US"/>
        </w:rPr>
        <w:t>“APPROVED”</w:t>
      </w:r>
      <w:r>
        <w:rPr>
          <w:sz w:val="28"/>
          <w:szCs w:val="28"/>
          <w:lang w:val="en-US"/>
        </w:rPr>
        <w:br w:type="textWrapping"/>
      </w:r>
      <w:r>
        <w:rPr>
          <w:sz w:val="28"/>
          <w:szCs w:val="28"/>
          <w:lang w:val="en-US"/>
        </w:rPr>
        <w:t>Vice-Rector for Academic affairs</w:t>
      </w:r>
      <w:r>
        <w:rPr>
          <w:sz w:val="28"/>
          <w:szCs w:val="28"/>
          <w:lang w:val="en-US"/>
        </w:rPr>
        <w:br w:type="textWrapping"/>
      </w:r>
      <w:r>
        <w:rPr>
          <w:sz w:val="28"/>
          <w:szCs w:val="28"/>
          <w:lang w:val="en-US"/>
        </w:rPr>
        <w:t>______________ X. Kadirov</w:t>
      </w:r>
      <w:r>
        <w:rPr>
          <w:sz w:val="28"/>
          <w:szCs w:val="28"/>
          <w:lang w:val="en-US"/>
        </w:rPr>
        <w:br w:type="textWrapping"/>
      </w:r>
      <w:r>
        <w:rPr>
          <w:sz w:val="28"/>
          <w:szCs w:val="28"/>
          <w:lang w:val="en-US"/>
        </w:rPr>
        <w:t>“_____” ___________ 2025</w:t>
      </w:r>
    </w:p>
    <w:p w14:paraId="627BA645">
      <w:pPr>
        <w:jc w:val="center"/>
        <w:rPr>
          <w:sz w:val="28"/>
          <w:szCs w:val="28"/>
          <w:lang w:val="uz-Cyrl-UZ"/>
        </w:rPr>
      </w:pPr>
    </w:p>
    <w:p w14:paraId="3CA67F35">
      <w:pPr>
        <w:jc w:val="center"/>
        <w:rPr>
          <w:b/>
          <w:sz w:val="28"/>
          <w:szCs w:val="28"/>
          <w:lang w:val="uz-Cyrl-UZ"/>
        </w:rPr>
      </w:pPr>
    </w:p>
    <w:p w14:paraId="7365ABBB">
      <w:pPr>
        <w:jc w:val="center"/>
        <w:rPr>
          <w:b/>
          <w:bCs/>
          <w:sz w:val="28"/>
          <w:szCs w:val="28"/>
          <w:lang w:val="en-US"/>
        </w:rPr>
      </w:pPr>
    </w:p>
    <w:p w14:paraId="4B82C8FB">
      <w:pPr>
        <w:jc w:val="center"/>
        <w:rPr>
          <w:b/>
          <w:bCs/>
          <w:sz w:val="28"/>
          <w:szCs w:val="28"/>
          <w:lang w:val="en-US"/>
        </w:rPr>
      </w:pPr>
    </w:p>
    <w:p w14:paraId="1438EB73">
      <w:pPr>
        <w:spacing w:line="360" w:lineRule="auto"/>
        <w:jc w:val="center"/>
        <w:rPr>
          <w:b/>
          <w:bCs/>
          <w:sz w:val="28"/>
          <w:szCs w:val="28"/>
          <w:lang w:val="en-US"/>
        </w:rPr>
      </w:pPr>
      <w:r>
        <w:rPr>
          <w:b/>
          <w:bCs/>
          <w:sz w:val="28"/>
          <w:szCs w:val="28"/>
          <w:lang w:val="en-US"/>
        </w:rPr>
        <w:t>MOLECULAR GENETICS</w:t>
      </w:r>
    </w:p>
    <w:p w14:paraId="13FADD6A">
      <w:pPr>
        <w:spacing w:line="360" w:lineRule="auto"/>
        <w:jc w:val="center"/>
        <w:rPr>
          <w:b/>
          <w:bCs/>
          <w:sz w:val="28"/>
          <w:szCs w:val="28"/>
          <w:lang w:val="en-US"/>
        </w:rPr>
      </w:pPr>
      <w:r>
        <w:rPr>
          <w:b/>
          <w:bCs/>
          <w:sz w:val="28"/>
          <w:szCs w:val="28"/>
          <w:lang w:val="en-US"/>
        </w:rPr>
        <w:t>SCIENCE CURRICULUM</w:t>
      </w:r>
      <w:r>
        <w:rPr>
          <w:b/>
          <w:bCs/>
          <w:sz w:val="28"/>
          <w:szCs w:val="28"/>
          <w:lang w:val="en-US"/>
        </w:rPr>
        <w:br w:type="textWrapping"/>
      </w:r>
    </w:p>
    <w:p w14:paraId="1A0CED86">
      <w:pPr>
        <w:jc w:val="center"/>
        <w:rPr>
          <w:sz w:val="28"/>
          <w:szCs w:val="28"/>
          <w:lang w:val="uz-Cyrl-UZ"/>
        </w:rPr>
      </w:pPr>
    </w:p>
    <w:p w14:paraId="7D00E220">
      <w:pPr>
        <w:jc w:val="center"/>
        <w:rPr>
          <w:sz w:val="28"/>
          <w:szCs w:val="28"/>
          <w:lang w:val="uz-Cyrl-UZ"/>
        </w:rPr>
      </w:pPr>
    </w:p>
    <w:p w14:paraId="2AB2BFCF">
      <w:pPr>
        <w:spacing w:line="360" w:lineRule="auto"/>
        <w:rPr>
          <w:b/>
          <w:bCs/>
          <w:sz w:val="28"/>
          <w:szCs w:val="28"/>
          <w:lang w:val="en-US"/>
        </w:rPr>
      </w:pPr>
    </w:p>
    <w:p w14:paraId="0A0D933A">
      <w:pPr>
        <w:spacing w:line="360" w:lineRule="auto"/>
        <w:rPr>
          <w:b/>
          <w:bCs/>
          <w:sz w:val="28"/>
          <w:szCs w:val="28"/>
          <w:lang w:val="en-US"/>
        </w:rPr>
      </w:pPr>
    </w:p>
    <w:p w14:paraId="33EEE28D">
      <w:pPr>
        <w:spacing w:line="360" w:lineRule="auto"/>
        <w:rPr>
          <w:b/>
          <w:bCs/>
          <w:sz w:val="28"/>
          <w:szCs w:val="28"/>
          <w:lang w:val="en-US"/>
        </w:rPr>
      </w:pPr>
    </w:p>
    <w:p w14:paraId="65C35DB9">
      <w:pPr>
        <w:spacing w:line="360" w:lineRule="auto"/>
        <w:rPr>
          <w:sz w:val="28"/>
          <w:szCs w:val="28"/>
          <w:lang w:val="en-US"/>
        </w:rPr>
      </w:pPr>
      <w:r>
        <w:rPr>
          <w:b/>
          <w:bCs/>
          <w:sz w:val="28"/>
          <w:szCs w:val="28"/>
          <w:lang w:val="en-US"/>
        </w:rPr>
        <w:t>Field of knowledge:</w:t>
      </w:r>
      <w:r>
        <w:rPr>
          <w:sz w:val="28"/>
          <w:szCs w:val="28"/>
          <w:lang w:val="en-US"/>
        </w:rPr>
        <w:t xml:space="preserve"> </w:t>
      </w:r>
      <w:r>
        <w:rPr>
          <w:sz w:val="28"/>
          <w:szCs w:val="28"/>
          <w:lang w:val="en-US"/>
        </w:rPr>
        <w:tab/>
      </w:r>
      <w:r>
        <w:rPr>
          <w:sz w:val="28"/>
          <w:szCs w:val="28"/>
          <w:lang w:val="en-US"/>
        </w:rPr>
        <w:t>500000 – Natural sciences, mathematics and statistics</w:t>
      </w:r>
      <w:r>
        <w:rPr>
          <w:sz w:val="28"/>
          <w:szCs w:val="28"/>
          <w:lang w:val="en-US"/>
        </w:rPr>
        <w:br w:type="textWrapping"/>
      </w:r>
      <w:r>
        <w:rPr>
          <w:b/>
          <w:bCs/>
          <w:sz w:val="28"/>
          <w:szCs w:val="28"/>
          <w:lang w:val="en-US"/>
        </w:rPr>
        <w:t>Field of education:</w:t>
      </w:r>
      <w:r>
        <w:rPr>
          <w:sz w:val="28"/>
          <w:szCs w:val="28"/>
          <w:lang w:val="en-US"/>
        </w:rPr>
        <w:t xml:space="preserve"> </w:t>
      </w:r>
      <w:r>
        <w:rPr>
          <w:sz w:val="28"/>
          <w:szCs w:val="28"/>
          <w:lang w:val="en-US"/>
        </w:rPr>
        <w:tab/>
      </w:r>
      <w:r>
        <w:rPr>
          <w:sz w:val="28"/>
          <w:szCs w:val="28"/>
          <w:lang w:val="en-US"/>
        </w:rPr>
        <w:t>510000 – Biological and related sciences</w:t>
      </w:r>
      <w:r>
        <w:rPr>
          <w:sz w:val="28"/>
          <w:szCs w:val="28"/>
          <w:lang w:val="en-US"/>
        </w:rPr>
        <w:br w:type="textWrapping"/>
      </w:r>
      <w:r>
        <w:rPr>
          <w:b/>
          <w:bCs/>
          <w:sz w:val="28"/>
          <w:szCs w:val="28"/>
          <w:lang w:val="en-US"/>
        </w:rPr>
        <w:t>Field of study:</w:t>
      </w:r>
      <w:r>
        <w:rPr>
          <w:sz w:val="28"/>
          <w:szCs w:val="28"/>
          <w:lang w:val="en-US"/>
        </w:rPr>
        <w:t xml:space="preserve"> </w:t>
      </w:r>
      <w:r>
        <w:rPr>
          <w:sz w:val="28"/>
          <w:szCs w:val="28"/>
          <w:lang w:val="en-US"/>
        </w:rPr>
        <w:tab/>
      </w:r>
      <w:r>
        <w:rPr>
          <w:sz w:val="28"/>
          <w:szCs w:val="28"/>
          <w:lang w:val="en-US"/>
        </w:rPr>
        <w:tab/>
      </w:r>
      <w:r>
        <w:rPr>
          <w:sz w:val="28"/>
          <w:szCs w:val="28"/>
          <w:lang w:val="en-US"/>
        </w:rPr>
        <w:t xml:space="preserve">60510100 – Biology </w:t>
      </w:r>
    </w:p>
    <w:p w14:paraId="15F3D3E4">
      <w:pPr>
        <w:pStyle w:val="12"/>
        <w:tabs>
          <w:tab w:val="left" w:pos="4804"/>
        </w:tabs>
        <w:jc w:val="left"/>
        <w:rPr>
          <w:rFonts w:ascii="Times New Roman" w:hAnsi="Times New Roman"/>
          <w:szCs w:val="28"/>
          <w:lang w:val="en-US"/>
        </w:rPr>
      </w:pPr>
    </w:p>
    <w:p w14:paraId="4614920B">
      <w:pPr>
        <w:jc w:val="center"/>
        <w:rPr>
          <w:sz w:val="28"/>
          <w:szCs w:val="28"/>
          <w:lang w:val="en-US"/>
        </w:rPr>
      </w:pPr>
    </w:p>
    <w:p w14:paraId="1E338B64">
      <w:pPr>
        <w:jc w:val="center"/>
        <w:rPr>
          <w:sz w:val="28"/>
          <w:szCs w:val="28"/>
          <w:lang w:val="uz-Cyrl-UZ"/>
        </w:rPr>
      </w:pPr>
    </w:p>
    <w:p w14:paraId="3A774DC0">
      <w:pPr>
        <w:jc w:val="center"/>
        <w:rPr>
          <w:sz w:val="28"/>
          <w:szCs w:val="28"/>
          <w:lang w:val="uz-Cyrl-UZ"/>
        </w:rPr>
      </w:pPr>
    </w:p>
    <w:p w14:paraId="0DEE9119">
      <w:pPr>
        <w:jc w:val="center"/>
        <w:rPr>
          <w:sz w:val="28"/>
          <w:szCs w:val="28"/>
          <w:lang w:val="uz-Cyrl-UZ"/>
        </w:rPr>
      </w:pPr>
    </w:p>
    <w:p w14:paraId="14413776">
      <w:pPr>
        <w:jc w:val="center"/>
        <w:rPr>
          <w:sz w:val="28"/>
          <w:szCs w:val="28"/>
          <w:lang w:val="uz-Cyrl-UZ"/>
        </w:rPr>
      </w:pPr>
    </w:p>
    <w:p w14:paraId="24F9795E">
      <w:pPr>
        <w:jc w:val="center"/>
        <w:rPr>
          <w:sz w:val="28"/>
          <w:szCs w:val="28"/>
          <w:lang w:val="uz-Cyrl-UZ"/>
        </w:rPr>
      </w:pPr>
    </w:p>
    <w:p w14:paraId="11B1DA47">
      <w:pPr>
        <w:jc w:val="center"/>
        <w:rPr>
          <w:sz w:val="28"/>
          <w:szCs w:val="28"/>
          <w:lang w:val="uz-Cyrl-UZ"/>
        </w:rPr>
      </w:pPr>
    </w:p>
    <w:p w14:paraId="6A728FB2">
      <w:pPr>
        <w:jc w:val="center"/>
        <w:rPr>
          <w:sz w:val="28"/>
          <w:szCs w:val="28"/>
          <w:lang w:val="uz-Cyrl-UZ"/>
        </w:rPr>
      </w:pPr>
    </w:p>
    <w:p w14:paraId="2F9A3364">
      <w:pPr>
        <w:jc w:val="center"/>
        <w:rPr>
          <w:sz w:val="28"/>
          <w:szCs w:val="28"/>
          <w:lang w:val="uz-Cyrl-UZ"/>
        </w:rPr>
      </w:pPr>
    </w:p>
    <w:p w14:paraId="49B23F45">
      <w:pPr>
        <w:framePr w:hSpace="180" w:wrap="around" w:vAnchor="text" w:hAnchor="text" w:x="385" w:y="1"/>
        <w:jc w:val="center"/>
        <w:rPr>
          <w:b/>
          <w:sz w:val="28"/>
          <w:szCs w:val="28"/>
          <w:lang w:val="uz-Cyrl-UZ"/>
        </w:rPr>
      </w:pPr>
    </w:p>
    <w:p w14:paraId="3F14C0A8">
      <w:pPr>
        <w:jc w:val="center"/>
        <w:rPr>
          <w:b/>
          <w:sz w:val="28"/>
          <w:szCs w:val="28"/>
          <w:lang w:val="uz-Cyrl-UZ"/>
        </w:rPr>
      </w:pPr>
    </w:p>
    <w:p w14:paraId="56321FE5">
      <w:pPr>
        <w:jc w:val="center"/>
        <w:rPr>
          <w:b/>
          <w:sz w:val="28"/>
          <w:szCs w:val="28"/>
        </w:rPr>
      </w:pPr>
      <w:r>
        <w:rPr>
          <w:b/>
          <w:sz w:val="28"/>
          <w:szCs w:val="28"/>
          <w:lang w:val="uz-Cyrl-UZ"/>
        </w:rPr>
        <w:t>NAMANGAN – 202</w:t>
      </w:r>
      <w:r>
        <w:rPr>
          <w:b/>
          <w:sz w:val="28"/>
          <w:szCs w:val="28"/>
        </w:rPr>
        <w:t>5</w:t>
      </w:r>
    </w:p>
    <w:p w14:paraId="743B2154">
      <w:pPr>
        <w:rPr>
          <w:sz w:val="28"/>
          <w:szCs w:val="28"/>
        </w:rPr>
      </w:pPr>
      <w:r>
        <w:rPr>
          <w:sz w:val="28"/>
          <w:szCs w:val="28"/>
        </w:rPr>
        <w:br w:type="page"/>
      </w:r>
      <w:r>
        <w:rPr>
          <w:sz w:val="28"/>
          <w:szCs w:val="28"/>
        </w:rPr>
        <w:br w:type="page"/>
      </w:r>
    </w:p>
    <w:tbl>
      <w:tblPr>
        <w:tblStyle w:val="6"/>
        <w:tblpPr w:leftFromText="180" w:rightFromText="180" w:vertAnchor="text" w:tblpXSpec="center" w:tblpY="1"/>
        <w:tblOverlap w:val="never"/>
        <w:tblW w:w="54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autofit"/>
        <w:tblCellMar>
          <w:top w:w="0" w:type="dxa"/>
          <w:left w:w="108" w:type="dxa"/>
          <w:bottom w:w="0" w:type="dxa"/>
          <w:right w:w="108" w:type="dxa"/>
        </w:tblCellMar>
      </w:tblPr>
      <w:tblGrid>
        <w:gridCol w:w="638"/>
        <w:gridCol w:w="2473"/>
        <w:gridCol w:w="2255"/>
        <w:gridCol w:w="769"/>
        <w:gridCol w:w="1778"/>
        <w:gridCol w:w="2530"/>
      </w:tblGrid>
      <w:tr w14:paraId="3F89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3038" w:type="dxa"/>
            <w:gridSpan w:val="2"/>
            <w:shd w:val="clear" w:color="auto" w:fill="F2F2F2"/>
            <w:vAlign w:val="center"/>
          </w:tcPr>
          <w:p w14:paraId="3E0A8491">
            <w:pPr>
              <w:jc w:val="center"/>
              <w:rPr>
                <w:b/>
                <w:bCs/>
                <w:sz w:val="28"/>
                <w:szCs w:val="28"/>
                <w:highlight w:val="red"/>
                <w:lang w:val="en-US"/>
              </w:rPr>
            </w:pPr>
            <w:r>
              <w:rPr>
                <w:b/>
                <w:bCs/>
                <w:sz w:val="28"/>
                <w:szCs w:val="28"/>
              </w:rPr>
              <w:t xml:space="preserve">Course/Module </w:t>
            </w:r>
            <w:r>
              <w:rPr>
                <w:b/>
                <w:bCs/>
                <w:sz w:val="28"/>
                <w:szCs w:val="28"/>
                <w:lang w:val="en-US"/>
              </w:rPr>
              <w:t>c</w:t>
            </w:r>
            <w:r>
              <w:rPr>
                <w:b/>
                <w:bCs/>
                <w:sz w:val="28"/>
                <w:szCs w:val="28"/>
              </w:rPr>
              <w:t>ode</w:t>
            </w:r>
            <w:r>
              <w:rPr>
                <w:b/>
                <w:bCs/>
                <w:sz w:val="28"/>
                <w:szCs w:val="28"/>
                <w:lang w:val="en-US"/>
              </w:rPr>
              <w:t xml:space="preserve"> </w:t>
            </w:r>
            <w:r>
              <w:rPr>
                <w:bCs/>
                <w:sz w:val="28"/>
                <w:szCs w:val="28"/>
                <w:lang w:val="en-US"/>
              </w:rPr>
              <w:t xml:space="preserve"> </w:t>
            </w:r>
            <w:r>
              <w:rPr>
                <w:color w:val="000000"/>
                <w:sz w:val="28"/>
                <w:szCs w:val="28"/>
                <w:lang w:val="en-US"/>
              </w:rPr>
              <w:t xml:space="preserve"> </w:t>
            </w:r>
            <w:r>
              <w:rPr>
                <w:rFonts w:eastAsia="Calibri"/>
                <w:color w:val="000000"/>
                <w:lang w:val="en-US" w:eastAsia="it-IT"/>
              </w:rPr>
              <w:t xml:space="preserve"> </w:t>
            </w:r>
            <w:r>
              <w:t xml:space="preserve">   </w:t>
            </w:r>
            <w:r>
              <w:rPr>
                <w:sz w:val="26"/>
                <w:szCs w:val="26"/>
                <w:lang w:val="en-US"/>
              </w:rPr>
              <w:t xml:space="preserve"> MGB404</w:t>
            </w:r>
          </w:p>
        </w:tc>
        <w:tc>
          <w:tcPr>
            <w:tcW w:w="2202" w:type="dxa"/>
            <w:shd w:val="clear" w:color="auto" w:fill="F2F2F2"/>
            <w:vAlign w:val="center"/>
          </w:tcPr>
          <w:p w14:paraId="0BF11D90">
            <w:pPr>
              <w:jc w:val="center"/>
              <w:rPr>
                <w:b/>
                <w:bCs/>
                <w:sz w:val="28"/>
                <w:szCs w:val="28"/>
                <w:highlight w:val="red"/>
                <w:lang w:val="en-US"/>
              </w:rPr>
            </w:pPr>
            <w:r>
              <w:rPr>
                <w:b/>
                <w:bCs/>
                <w:sz w:val="28"/>
                <w:szCs w:val="28"/>
              </w:rPr>
              <w:t xml:space="preserve">Academic </w:t>
            </w:r>
            <w:r>
              <w:rPr>
                <w:b/>
                <w:bCs/>
                <w:sz w:val="28"/>
                <w:szCs w:val="28"/>
                <w:lang w:val="en-US"/>
              </w:rPr>
              <w:t>y</w:t>
            </w:r>
            <w:r>
              <w:rPr>
                <w:b/>
                <w:bCs/>
                <w:sz w:val="28"/>
                <w:szCs w:val="28"/>
              </w:rPr>
              <w:t>ear</w:t>
            </w:r>
            <w:r>
              <w:rPr>
                <w:b/>
                <w:bCs/>
                <w:sz w:val="28"/>
                <w:szCs w:val="28"/>
                <w:lang w:val="uz-Cyrl-UZ"/>
              </w:rPr>
              <w:t xml:space="preserve"> </w:t>
            </w:r>
            <w:r>
              <w:rPr>
                <w:sz w:val="28"/>
                <w:szCs w:val="28"/>
                <w:lang w:val="uz-Cyrl-UZ"/>
              </w:rPr>
              <w:t>202</w:t>
            </w:r>
            <w:r>
              <w:rPr>
                <w:sz w:val="28"/>
                <w:szCs w:val="28"/>
                <w:lang w:val="en-US"/>
              </w:rPr>
              <w:t>8</w:t>
            </w:r>
            <w:r>
              <w:rPr>
                <w:sz w:val="28"/>
                <w:szCs w:val="28"/>
                <w:lang w:val="uz-Cyrl-UZ"/>
              </w:rPr>
              <w:t>/202</w:t>
            </w:r>
            <w:r>
              <w:rPr>
                <w:sz w:val="28"/>
                <w:szCs w:val="28"/>
                <w:lang w:val="en-US"/>
              </w:rPr>
              <w:t>9</w:t>
            </w:r>
          </w:p>
        </w:tc>
        <w:tc>
          <w:tcPr>
            <w:tcW w:w="2482" w:type="dxa"/>
            <w:gridSpan w:val="2"/>
            <w:shd w:val="clear" w:color="auto" w:fill="F2F2F2"/>
            <w:vAlign w:val="center"/>
          </w:tcPr>
          <w:p w14:paraId="3C07D822">
            <w:pPr>
              <w:jc w:val="center"/>
              <w:rPr>
                <w:b/>
                <w:bCs/>
                <w:sz w:val="28"/>
                <w:szCs w:val="28"/>
                <w:lang w:val="uz-Cyrl-UZ"/>
              </w:rPr>
            </w:pPr>
            <w:r>
              <w:rPr>
                <w:b/>
                <w:bCs/>
                <w:sz w:val="28"/>
                <w:szCs w:val="28"/>
                <w:lang w:val="uz-Cyrl-UZ"/>
              </w:rPr>
              <w:t>Semestr</w:t>
            </w:r>
          </w:p>
          <w:p w14:paraId="13FB5A62">
            <w:pPr>
              <w:jc w:val="center"/>
              <w:rPr>
                <w:sz w:val="28"/>
                <w:szCs w:val="28"/>
                <w:lang w:val="en-US"/>
              </w:rPr>
            </w:pPr>
            <w:r>
              <w:rPr>
                <w:sz w:val="28"/>
                <w:szCs w:val="28"/>
                <w:lang w:val="en-US"/>
              </w:rPr>
              <w:t>6</w:t>
            </w:r>
          </w:p>
        </w:tc>
        <w:tc>
          <w:tcPr>
            <w:tcW w:w="2470" w:type="dxa"/>
            <w:shd w:val="clear" w:color="auto" w:fill="F2F2F2"/>
            <w:vAlign w:val="center"/>
          </w:tcPr>
          <w:p w14:paraId="2CC726C3">
            <w:pPr>
              <w:jc w:val="center"/>
              <w:rPr>
                <w:b/>
                <w:bCs/>
                <w:sz w:val="28"/>
                <w:szCs w:val="28"/>
                <w:lang w:val="en-US"/>
              </w:rPr>
            </w:pPr>
            <w:r>
              <w:rPr>
                <w:b/>
                <w:bCs/>
                <w:sz w:val="28"/>
                <w:szCs w:val="28"/>
                <w:lang w:val="uz-Cyrl-UZ"/>
              </w:rPr>
              <w:t>ECTS-Kredit</w:t>
            </w:r>
            <w:r>
              <w:rPr>
                <w:b/>
                <w:bCs/>
                <w:sz w:val="28"/>
                <w:szCs w:val="28"/>
                <w:lang w:val="en-US"/>
              </w:rPr>
              <w:t>s</w:t>
            </w:r>
          </w:p>
          <w:p w14:paraId="6F26D36A">
            <w:pPr>
              <w:jc w:val="center"/>
              <w:rPr>
                <w:sz w:val="28"/>
                <w:szCs w:val="28"/>
                <w:lang w:val="en-US"/>
              </w:rPr>
            </w:pPr>
            <w:r>
              <w:rPr>
                <w:sz w:val="28"/>
                <w:szCs w:val="28"/>
                <w:lang w:val="en-US"/>
              </w:rPr>
              <w:t>4</w:t>
            </w:r>
          </w:p>
        </w:tc>
      </w:tr>
      <w:tr w14:paraId="77B5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rPr>
          <w:trHeight w:val="944" w:hRule="atLeast"/>
        </w:trPr>
        <w:tc>
          <w:tcPr>
            <w:tcW w:w="3038" w:type="dxa"/>
            <w:gridSpan w:val="2"/>
            <w:shd w:val="clear" w:color="auto" w:fill="F2F2F2"/>
            <w:vAlign w:val="center"/>
          </w:tcPr>
          <w:p w14:paraId="53E25683">
            <w:pPr>
              <w:jc w:val="center"/>
              <w:rPr>
                <w:b/>
                <w:bCs/>
                <w:sz w:val="28"/>
                <w:szCs w:val="28"/>
                <w:lang w:val="en-US"/>
              </w:rPr>
            </w:pPr>
            <w:r>
              <w:rPr>
                <w:b/>
                <w:bCs/>
                <w:sz w:val="28"/>
                <w:szCs w:val="28"/>
                <w:lang w:val="en-US"/>
              </w:rPr>
              <w:t xml:space="preserve">Type of Course/Module </w:t>
            </w:r>
          </w:p>
          <w:p w14:paraId="7120FAFA">
            <w:pPr>
              <w:jc w:val="center"/>
              <w:rPr>
                <w:sz w:val="28"/>
                <w:szCs w:val="28"/>
                <w:lang w:val="uz-Cyrl-UZ"/>
              </w:rPr>
            </w:pPr>
            <w:r>
              <w:rPr>
                <w:sz w:val="28"/>
                <w:szCs w:val="28"/>
                <w:lang w:val="en-US"/>
              </w:rPr>
              <w:t>Elective</w:t>
            </w:r>
          </w:p>
        </w:tc>
        <w:tc>
          <w:tcPr>
            <w:tcW w:w="4689" w:type="dxa"/>
            <w:gridSpan w:val="3"/>
            <w:shd w:val="clear" w:color="auto" w:fill="F2F2F2"/>
            <w:vAlign w:val="center"/>
          </w:tcPr>
          <w:p w14:paraId="04C43EF2">
            <w:pPr>
              <w:jc w:val="center"/>
              <w:rPr>
                <w:b/>
                <w:bCs/>
                <w:sz w:val="28"/>
                <w:szCs w:val="28"/>
                <w:lang w:val="en-US"/>
              </w:rPr>
            </w:pPr>
            <w:r>
              <w:rPr>
                <w:b/>
                <w:bCs/>
                <w:sz w:val="28"/>
                <w:szCs w:val="28"/>
                <w:lang w:val="en-US"/>
              </w:rPr>
              <w:t>Language of instruction</w:t>
            </w:r>
          </w:p>
          <w:p w14:paraId="2A35CBEE">
            <w:pPr>
              <w:jc w:val="center"/>
              <w:rPr>
                <w:sz w:val="28"/>
                <w:szCs w:val="28"/>
                <w:lang w:val="uz-Cyrl-UZ"/>
              </w:rPr>
            </w:pPr>
            <w:r>
              <w:rPr>
                <w:sz w:val="28"/>
                <w:szCs w:val="28"/>
                <w:lang w:val="en-US"/>
              </w:rPr>
              <w:t>U</w:t>
            </w:r>
            <w:r>
              <w:rPr>
                <w:sz w:val="28"/>
                <w:szCs w:val="28"/>
                <w:lang w:val="uz-Cyrl-UZ"/>
              </w:rPr>
              <w:t>zbek</w:t>
            </w:r>
          </w:p>
        </w:tc>
        <w:tc>
          <w:tcPr>
            <w:tcW w:w="2470" w:type="dxa"/>
            <w:shd w:val="clear" w:color="auto" w:fill="F2F2F2"/>
            <w:vAlign w:val="center"/>
          </w:tcPr>
          <w:p w14:paraId="60A9BB9E">
            <w:pPr>
              <w:jc w:val="center"/>
              <w:rPr>
                <w:b/>
                <w:bCs/>
                <w:sz w:val="28"/>
                <w:szCs w:val="28"/>
                <w:lang w:val="uz-Cyrl-UZ"/>
              </w:rPr>
            </w:pPr>
            <w:r>
              <w:rPr>
                <w:b/>
                <w:bCs/>
                <w:sz w:val="28"/>
                <w:szCs w:val="28"/>
              </w:rPr>
              <w:t xml:space="preserve">Weekly </w:t>
            </w:r>
            <w:r>
              <w:rPr>
                <w:b/>
                <w:bCs/>
                <w:sz w:val="28"/>
                <w:szCs w:val="28"/>
                <w:lang w:val="en-US"/>
              </w:rPr>
              <w:t>c</w:t>
            </w:r>
            <w:r>
              <w:rPr>
                <w:b/>
                <w:bCs/>
                <w:sz w:val="28"/>
                <w:szCs w:val="28"/>
              </w:rPr>
              <w:t xml:space="preserve">ontact </w:t>
            </w:r>
            <w:r>
              <w:rPr>
                <w:b/>
                <w:bCs/>
                <w:sz w:val="28"/>
                <w:szCs w:val="28"/>
                <w:lang w:val="en-US"/>
              </w:rPr>
              <w:t>h</w:t>
            </w:r>
            <w:r>
              <w:rPr>
                <w:b/>
                <w:bCs/>
                <w:sz w:val="28"/>
                <w:szCs w:val="28"/>
              </w:rPr>
              <w:t>ours</w:t>
            </w:r>
            <w:r>
              <w:rPr>
                <w:b/>
                <w:bCs/>
                <w:sz w:val="28"/>
                <w:szCs w:val="28"/>
                <w:lang w:val="uz-Cyrl-UZ"/>
              </w:rPr>
              <w:t xml:space="preserve"> </w:t>
            </w:r>
          </w:p>
          <w:p w14:paraId="7D4C6B15">
            <w:pPr>
              <w:jc w:val="center"/>
              <w:rPr>
                <w:sz w:val="28"/>
                <w:szCs w:val="28"/>
                <w:u w:val="single"/>
                <w:lang w:val="en-US"/>
              </w:rPr>
            </w:pPr>
            <w:r>
              <w:rPr>
                <w:sz w:val="28"/>
                <w:szCs w:val="28"/>
                <w:u w:val="single"/>
                <w:lang w:val="en-US"/>
              </w:rPr>
              <w:t>4</w:t>
            </w:r>
          </w:p>
        </w:tc>
      </w:tr>
      <w:tr w14:paraId="1F92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vMerge w:val="restart"/>
            <w:shd w:val="clear" w:color="auto" w:fill="F2F2F2"/>
            <w:vAlign w:val="center"/>
          </w:tcPr>
          <w:p w14:paraId="78365DB9">
            <w:pPr>
              <w:jc w:val="center"/>
              <w:rPr>
                <w:b/>
                <w:bCs/>
                <w:sz w:val="28"/>
                <w:szCs w:val="28"/>
                <w:lang w:val="uz-Cyrl-UZ"/>
              </w:rPr>
            </w:pPr>
            <w:r>
              <w:rPr>
                <w:b/>
                <w:bCs/>
                <w:sz w:val="28"/>
                <w:szCs w:val="28"/>
                <w:lang w:val="uz-Cyrl-UZ"/>
              </w:rPr>
              <w:t>1</w:t>
            </w:r>
          </w:p>
        </w:tc>
        <w:tc>
          <w:tcPr>
            <w:tcW w:w="2415" w:type="dxa"/>
            <w:shd w:val="clear" w:color="auto" w:fill="F2F2F2"/>
            <w:vAlign w:val="center"/>
          </w:tcPr>
          <w:p w14:paraId="58B684A8">
            <w:pPr>
              <w:jc w:val="center"/>
              <w:rPr>
                <w:b/>
                <w:bCs/>
                <w:sz w:val="28"/>
                <w:szCs w:val="28"/>
                <w:lang w:val="uz-Cyrl-UZ"/>
              </w:rPr>
            </w:pPr>
            <w:r>
              <w:rPr>
                <w:b/>
                <w:bCs/>
                <w:sz w:val="28"/>
                <w:szCs w:val="28"/>
              </w:rPr>
              <w:t>Course Title</w:t>
            </w:r>
          </w:p>
        </w:tc>
        <w:tc>
          <w:tcPr>
            <w:tcW w:w="2953" w:type="dxa"/>
            <w:gridSpan w:val="2"/>
            <w:shd w:val="clear" w:color="auto" w:fill="F2F2F2"/>
            <w:vAlign w:val="center"/>
          </w:tcPr>
          <w:p w14:paraId="08D116A4">
            <w:pPr>
              <w:jc w:val="center"/>
              <w:rPr>
                <w:b/>
                <w:bCs/>
                <w:sz w:val="28"/>
                <w:szCs w:val="28"/>
                <w:lang w:val="en-US"/>
              </w:rPr>
            </w:pPr>
            <w:r>
              <w:rPr>
                <w:b/>
                <w:bCs/>
                <w:sz w:val="28"/>
                <w:szCs w:val="28"/>
              </w:rPr>
              <w:t>Classroom/</w:t>
            </w:r>
            <w:r>
              <w:rPr>
                <w:b/>
                <w:bCs/>
                <w:sz w:val="28"/>
                <w:szCs w:val="28"/>
                <w:lang w:val="en-US"/>
              </w:rPr>
              <w:t>l</w:t>
            </w:r>
            <w:r>
              <w:rPr>
                <w:b/>
                <w:bCs/>
                <w:sz w:val="28"/>
                <w:szCs w:val="28"/>
              </w:rPr>
              <w:t xml:space="preserve">ecture </w:t>
            </w:r>
            <w:r>
              <w:rPr>
                <w:b/>
                <w:bCs/>
                <w:sz w:val="28"/>
                <w:szCs w:val="28"/>
                <w:lang w:val="en-US"/>
              </w:rPr>
              <w:t>(h</w:t>
            </w:r>
            <w:r>
              <w:rPr>
                <w:b/>
                <w:bCs/>
                <w:sz w:val="28"/>
                <w:szCs w:val="28"/>
              </w:rPr>
              <w:t>ours</w:t>
            </w:r>
            <w:r>
              <w:rPr>
                <w:b/>
                <w:bCs/>
                <w:sz w:val="28"/>
                <w:szCs w:val="28"/>
                <w:lang w:val="en-US"/>
              </w:rPr>
              <w:t>)</w:t>
            </w:r>
          </w:p>
          <w:p w14:paraId="6D0C0402">
            <w:pPr>
              <w:jc w:val="center"/>
              <w:rPr>
                <w:b/>
                <w:bCs/>
                <w:sz w:val="28"/>
                <w:szCs w:val="28"/>
                <w:lang w:val="uz-Cyrl-UZ"/>
              </w:rPr>
            </w:pPr>
          </w:p>
        </w:tc>
        <w:tc>
          <w:tcPr>
            <w:tcW w:w="1726" w:type="dxa"/>
            <w:shd w:val="clear" w:color="auto" w:fill="F2F2F2"/>
            <w:vAlign w:val="center"/>
          </w:tcPr>
          <w:p w14:paraId="0102BEE9">
            <w:pPr>
              <w:jc w:val="center"/>
              <w:rPr>
                <w:b/>
                <w:bCs/>
                <w:sz w:val="28"/>
                <w:szCs w:val="28"/>
                <w:lang w:val="uz-Cyrl-UZ"/>
              </w:rPr>
            </w:pPr>
            <w:r>
              <w:rPr>
                <w:b/>
                <w:bCs/>
                <w:sz w:val="28"/>
                <w:szCs w:val="28"/>
              </w:rPr>
              <w:t xml:space="preserve">Independent </w:t>
            </w:r>
            <w:r>
              <w:rPr>
                <w:b/>
                <w:bCs/>
                <w:sz w:val="28"/>
                <w:szCs w:val="28"/>
                <w:lang w:val="en-US"/>
              </w:rPr>
              <w:t>s</w:t>
            </w:r>
            <w:r>
              <w:rPr>
                <w:b/>
                <w:bCs/>
                <w:sz w:val="28"/>
                <w:szCs w:val="28"/>
              </w:rPr>
              <w:t xml:space="preserve">tudy </w:t>
            </w:r>
            <w:r>
              <w:rPr>
                <w:b/>
                <w:bCs/>
                <w:sz w:val="28"/>
                <w:szCs w:val="28"/>
                <w:lang w:val="en-US"/>
              </w:rPr>
              <w:t>(h</w:t>
            </w:r>
            <w:r>
              <w:rPr>
                <w:b/>
                <w:bCs/>
                <w:sz w:val="28"/>
                <w:szCs w:val="28"/>
              </w:rPr>
              <w:t>ours</w:t>
            </w:r>
            <w:r>
              <w:rPr>
                <w:b/>
                <w:bCs/>
                <w:sz w:val="28"/>
                <w:szCs w:val="28"/>
                <w:lang w:val="en-US"/>
              </w:rPr>
              <w:t>)</w:t>
            </w:r>
          </w:p>
        </w:tc>
        <w:tc>
          <w:tcPr>
            <w:tcW w:w="2470" w:type="dxa"/>
            <w:shd w:val="clear" w:color="auto" w:fill="F2F2F2"/>
            <w:vAlign w:val="center"/>
          </w:tcPr>
          <w:p w14:paraId="61629F9F">
            <w:pPr>
              <w:jc w:val="center"/>
              <w:rPr>
                <w:b/>
                <w:bCs/>
                <w:sz w:val="28"/>
                <w:szCs w:val="28"/>
                <w:lang w:val="uz-Cyrl-UZ"/>
              </w:rPr>
            </w:pPr>
            <w:r>
              <w:rPr>
                <w:b/>
                <w:bCs/>
                <w:sz w:val="28"/>
                <w:szCs w:val="28"/>
              </w:rPr>
              <w:t xml:space="preserve">Total </w:t>
            </w:r>
            <w:r>
              <w:rPr>
                <w:b/>
                <w:bCs/>
                <w:sz w:val="28"/>
                <w:szCs w:val="28"/>
                <w:lang w:val="en-US"/>
              </w:rPr>
              <w:t>wo</w:t>
            </w:r>
            <w:r>
              <w:rPr>
                <w:b/>
                <w:bCs/>
                <w:sz w:val="28"/>
                <w:szCs w:val="28"/>
              </w:rPr>
              <w:t>rkload</w:t>
            </w:r>
            <w:r>
              <w:rPr>
                <w:b/>
                <w:bCs/>
                <w:sz w:val="28"/>
                <w:szCs w:val="28"/>
                <w:lang w:val="en-US"/>
              </w:rPr>
              <w:t xml:space="preserve"> </w:t>
            </w:r>
            <w:r>
              <w:rPr>
                <w:b/>
                <w:bCs/>
                <w:sz w:val="28"/>
                <w:szCs w:val="28"/>
                <w:lang w:val="uz-Cyrl-UZ"/>
              </w:rPr>
              <w:t xml:space="preserve"> </w:t>
            </w:r>
            <w:r>
              <w:rPr>
                <w:b/>
                <w:bCs/>
                <w:sz w:val="28"/>
                <w:szCs w:val="28"/>
                <w:lang w:val="en-US"/>
              </w:rPr>
              <w:t>(h</w:t>
            </w:r>
            <w:r>
              <w:rPr>
                <w:b/>
                <w:bCs/>
                <w:sz w:val="28"/>
                <w:szCs w:val="28"/>
              </w:rPr>
              <w:t>ours</w:t>
            </w:r>
            <w:r>
              <w:rPr>
                <w:b/>
                <w:bCs/>
                <w:sz w:val="28"/>
                <w:szCs w:val="28"/>
                <w:lang w:val="en-US"/>
              </w:rPr>
              <w:t>)</w:t>
            </w:r>
          </w:p>
        </w:tc>
      </w:tr>
      <w:tr w14:paraId="7B9E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vMerge w:val="continue"/>
            <w:shd w:val="clear" w:color="auto" w:fill="F2F2F2"/>
            <w:vAlign w:val="center"/>
          </w:tcPr>
          <w:p w14:paraId="5512863D">
            <w:pPr>
              <w:jc w:val="center"/>
              <w:rPr>
                <w:b/>
                <w:sz w:val="28"/>
                <w:szCs w:val="28"/>
                <w:lang w:val="uz-Cyrl-UZ"/>
              </w:rPr>
            </w:pPr>
          </w:p>
        </w:tc>
        <w:tc>
          <w:tcPr>
            <w:tcW w:w="2415" w:type="dxa"/>
            <w:shd w:val="clear" w:color="auto" w:fill="F2F2F2"/>
            <w:vAlign w:val="center"/>
          </w:tcPr>
          <w:p w14:paraId="42B4A841">
            <w:pPr>
              <w:jc w:val="center"/>
              <w:rPr>
                <w:sz w:val="28"/>
                <w:szCs w:val="28"/>
                <w:lang w:val="en-US"/>
              </w:rPr>
            </w:pPr>
            <w:r>
              <w:rPr>
                <w:sz w:val="28"/>
                <w:szCs w:val="28"/>
                <w:lang w:val="en-US"/>
              </w:rPr>
              <w:t>Molecular genetics</w:t>
            </w:r>
          </w:p>
        </w:tc>
        <w:tc>
          <w:tcPr>
            <w:tcW w:w="2953" w:type="dxa"/>
            <w:gridSpan w:val="2"/>
            <w:shd w:val="clear" w:color="auto" w:fill="F2F2F2"/>
            <w:vAlign w:val="center"/>
          </w:tcPr>
          <w:p w14:paraId="27A79424">
            <w:pPr>
              <w:pStyle w:val="15"/>
              <w:ind w:left="0"/>
              <w:jc w:val="center"/>
              <w:rPr>
                <w:rFonts w:ascii="Times New Roman" w:hAnsi="Times New Roman" w:cs="Times New Roman"/>
                <w:sz w:val="28"/>
                <w:szCs w:val="28"/>
              </w:rPr>
            </w:pPr>
            <w:r>
              <w:rPr>
                <w:rFonts w:ascii="Times New Roman" w:hAnsi="Times New Roman" w:cs="Times New Roman"/>
                <w:sz w:val="28"/>
                <w:szCs w:val="28"/>
              </w:rPr>
              <w:t>60</w:t>
            </w:r>
          </w:p>
        </w:tc>
        <w:tc>
          <w:tcPr>
            <w:tcW w:w="1726" w:type="dxa"/>
            <w:shd w:val="clear" w:color="auto" w:fill="F2F2F2"/>
            <w:vAlign w:val="center"/>
          </w:tcPr>
          <w:p w14:paraId="62EAEA57">
            <w:pPr>
              <w:pStyle w:val="15"/>
              <w:ind w:left="0"/>
              <w:jc w:val="center"/>
              <w:rPr>
                <w:rFonts w:ascii="Times New Roman" w:hAnsi="Times New Roman" w:cs="Times New Roman"/>
                <w:sz w:val="28"/>
                <w:szCs w:val="28"/>
              </w:rPr>
            </w:pPr>
            <w:r>
              <w:rPr>
                <w:rFonts w:ascii="Times New Roman" w:hAnsi="Times New Roman" w:cs="Times New Roman"/>
                <w:sz w:val="28"/>
                <w:szCs w:val="28"/>
              </w:rPr>
              <w:t>60</w:t>
            </w:r>
          </w:p>
        </w:tc>
        <w:tc>
          <w:tcPr>
            <w:tcW w:w="2470" w:type="dxa"/>
            <w:shd w:val="clear" w:color="auto" w:fill="F2F2F2"/>
            <w:vAlign w:val="center"/>
          </w:tcPr>
          <w:p w14:paraId="692CED76">
            <w:pPr>
              <w:pStyle w:val="15"/>
              <w:ind w:left="0"/>
              <w:jc w:val="center"/>
              <w:rPr>
                <w:rFonts w:ascii="Times New Roman" w:hAnsi="Times New Roman" w:cs="Times New Roman"/>
                <w:sz w:val="28"/>
                <w:szCs w:val="28"/>
              </w:rPr>
            </w:pPr>
            <w:r>
              <w:rPr>
                <w:rFonts w:ascii="Times New Roman" w:hAnsi="Times New Roman" w:cs="Times New Roman"/>
                <w:sz w:val="28"/>
                <w:szCs w:val="28"/>
              </w:rPr>
              <w:t>120</w:t>
            </w:r>
          </w:p>
        </w:tc>
      </w:tr>
      <w:tr w14:paraId="5F65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shd w:val="clear" w:color="auto" w:fill="FFFFFF" w:themeFill="background1"/>
            <w:vAlign w:val="center"/>
          </w:tcPr>
          <w:p w14:paraId="30466966">
            <w:pPr>
              <w:jc w:val="center"/>
              <w:rPr>
                <w:b/>
                <w:sz w:val="28"/>
                <w:szCs w:val="28"/>
                <w:lang w:val="en-US"/>
              </w:rPr>
            </w:pPr>
            <w:r>
              <w:rPr>
                <w:b/>
                <w:sz w:val="28"/>
                <w:szCs w:val="28"/>
                <w:lang w:val="en-US"/>
              </w:rPr>
              <w:t>2</w:t>
            </w:r>
          </w:p>
        </w:tc>
        <w:tc>
          <w:tcPr>
            <w:tcW w:w="9574" w:type="dxa"/>
            <w:gridSpan w:val="5"/>
            <w:shd w:val="clear" w:color="auto" w:fill="FFFFFF" w:themeFill="background1"/>
            <w:vAlign w:val="center"/>
          </w:tcPr>
          <w:p w14:paraId="03A94125">
            <w:pPr>
              <w:pStyle w:val="15"/>
              <w:ind w:left="0" w:firstLine="259"/>
              <w:jc w:val="both"/>
              <w:rPr>
                <w:rFonts w:ascii="Times New Roman" w:hAnsi="Times New Roman" w:cs="Times New Roman"/>
                <w:sz w:val="28"/>
                <w:szCs w:val="28"/>
                <w:lang w:val="uz-Latn-UZ"/>
              </w:rPr>
            </w:pPr>
          </w:p>
          <w:p w14:paraId="0D999BA1">
            <w:pPr>
              <w:ind w:firstLine="259"/>
              <w:jc w:val="center"/>
              <w:rPr>
                <w:sz w:val="28"/>
                <w:szCs w:val="28"/>
                <w:lang w:val="en-US"/>
              </w:rPr>
            </w:pPr>
            <w:r>
              <w:rPr>
                <w:b/>
                <w:bCs/>
                <w:sz w:val="28"/>
                <w:szCs w:val="28"/>
                <w:lang w:val="en-US"/>
              </w:rPr>
              <w:t>I. COURSE CONTENT</w:t>
            </w:r>
          </w:p>
          <w:p w14:paraId="239BD122">
            <w:pPr>
              <w:pStyle w:val="14"/>
              <w:spacing w:before="0" w:beforeAutospacing="0" w:after="0" w:afterAutospacing="0"/>
              <w:ind w:firstLine="259"/>
              <w:jc w:val="both"/>
              <w:rPr>
                <w:sz w:val="28"/>
                <w:szCs w:val="28"/>
                <w:lang w:val="uz-Latn-UZ"/>
              </w:rPr>
            </w:pPr>
            <w:r>
              <w:rPr>
                <w:sz w:val="28"/>
                <w:szCs w:val="28"/>
                <w:lang w:val="en-US"/>
              </w:rPr>
              <w:t>The aim of the discipline. The aim of the discipline Molecular genetics is to provide undergraduate students with a fundamental understanding of the mechanisms by which traits and characteristics are inherited and vary across generations, through the study of the laws of heredity and variation at both classical and molecular levels. The course is designed to explain the molecular basis of gene structure and function, genetic information transfer, and variation in living organisms, forming a foundation for further studies in genetics, biotechnology, and related life sciences.</w:t>
            </w:r>
          </w:p>
          <w:p w14:paraId="773453A9">
            <w:pPr>
              <w:pStyle w:val="14"/>
              <w:spacing w:before="240" w:beforeAutospacing="0" w:after="0" w:afterAutospacing="0"/>
              <w:ind w:firstLine="259"/>
              <w:jc w:val="center"/>
              <w:rPr>
                <w:sz w:val="28"/>
                <w:szCs w:val="28"/>
                <w:lang w:val="en-US"/>
              </w:rPr>
            </w:pPr>
            <w:r>
              <w:rPr>
                <w:rStyle w:val="9"/>
                <w:sz w:val="28"/>
                <w:szCs w:val="28"/>
                <w:lang w:val="en-US"/>
              </w:rPr>
              <w:t>II. MAIN THEORETICAL SECTION (LECTURE SESSIONS)</w:t>
            </w:r>
          </w:p>
          <w:p w14:paraId="2D7A70DC">
            <w:pPr>
              <w:pStyle w:val="14"/>
              <w:spacing w:before="0" w:beforeAutospacing="0" w:after="0" w:afterAutospacing="0"/>
              <w:ind w:firstLine="254"/>
              <w:jc w:val="both"/>
              <w:rPr>
                <w:b/>
                <w:bCs/>
                <w:sz w:val="28"/>
                <w:szCs w:val="28"/>
                <w:lang w:val="en-US"/>
              </w:rPr>
            </w:pPr>
            <w:r>
              <w:rPr>
                <w:b/>
                <w:bCs/>
                <w:sz w:val="28"/>
                <w:szCs w:val="28"/>
                <w:lang w:val="en-US"/>
              </w:rPr>
              <w:t>The course includes the following topics:</w:t>
            </w:r>
          </w:p>
          <w:p w14:paraId="2DE41503">
            <w:pPr>
              <w:shd w:val="clear" w:color="auto" w:fill="FFFFFF"/>
              <w:spacing w:before="240"/>
              <w:jc w:val="both"/>
              <w:rPr>
                <w:b/>
                <w:bCs/>
                <w:color w:val="0F1115"/>
                <w:sz w:val="28"/>
                <w:szCs w:val="28"/>
                <w:lang w:val="en-US"/>
              </w:rPr>
            </w:pPr>
            <w:r>
              <w:rPr>
                <w:b/>
                <w:bCs/>
                <w:color w:val="0F1115"/>
                <w:sz w:val="28"/>
                <w:szCs w:val="28"/>
                <w:lang w:val="en-US"/>
              </w:rPr>
              <w:t>Topic 1. Introduction</w:t>
            </w:r>
          </w:p>
          <w:p w14:paraId="24DBC72F">
            <w:pPr>
              <w:shd w:val="clear" w:color="auto" w:fill="FFFFFF"/>
              <w:jc w:val="both"/>
              <w:rPr>
                <w:color w:val="0F1115"/>
                <w:sz w:val="28"/>
                <w:szCs w:val="28"/>
                <w:lang w:val="en-US"/>
              </w:rPr>
            </w:pPr>
            <w:r>
              <w:rPr>
                <w:color w:val="0F1115"/>
                <w:sz w:val="28"/>
                <w:szCs w:val="28"/>
                <w:lang w:val="en-US"/>
              </w:rPr>
              <w:t>Molecular genetics as a discipline—its subject matter and objectives. The discovery of heredity and variability laws, and the historical development of the field. The role of genetics within the biological sciences. The establishment of genetic research in Uzbekistan and the advancement of modern genetics.</w:t>
            </w:r>
          </w:p>
          <w:p w14:paraId="60FD8297">
            <w:pPr>
              <w:shd w:val="clear" w:color="auto" w:fill="FFFFFF"/>
              <w:spacing w:before="240"/>
              <w:jc w:val="both"/>
              <w:rPr>
                <w:b/>
                <w:bCs/>
                <w:color w:val="0F1115"/>
                <w:sz w:val="28"/>
                <w:szCs w:val="28"/>
                <w:lang w:val="en-US"/>
              </w:rPr>
            </w:pPr>
            <w:r>
              <w:rPr>
                <w:b/>
                <w:bCs/>
                <w:color w:val="0F1115"/>
                <w:sz w:val="28"/>
                <w:szCs w:val="28"/>
                <w:lang w:val="en-US"/>
              </w:rPr>
              <w:t>Topic 2. Gene, Genome, Genomic Diversity, and Genetic Analysis</w:t>
            </w:r>
          </w:p>
          <w:p w14:paraId="2BC1F7F3">
            <w:pPr>
              <w:shd w:val="clear" w:color="auto" w:fill="FFFFFF"/>
              <w:jc w:val="both"/>
              <w:rPr>
                <w:color w:val="0F1115"/>
                <w:sz w:val="28"/>
                <w:szCs w:val="28"/>
                <w:lang w:val="en-US"/>
              </w:rPr>
            </w:pPr>
            <w:r>
              <w:rPr>
                <w:color w:val="0F1115"/>
                <w:sz w:val="28"/>
                <w:szCs w:val="28"/>
                <w:lang w:val="en-US"/>
              </w:rPr>
              <w:t>Concepts of gene and genome. DNA structure and function. Genetic diversity. Molecular biology of DNA replication and recombination. Transmission genetics. Principles of segregation. Types and significance of genetic analysis.</w:t>
            </w:r>
          </w:p>
          <w:p w14:paraId="4D62FAAD">
            <w:pPr>
              <w:shd w:val="clear" w:color="auto" w:fill="FFFFFF"/>
              <w:spacing w:before="240"/>
              <w:jc w:val="both"/>
              <w:rPr>
                <w:b/>
                <w:bCs/>
                <w:color w:val="0F1115"/>
                <w:sz w:val="28"/>
                <w:szCs w:val="28"/>
                <w:lang w:val="en-US"/>
              </w:rPr>
            </w:pPr>
            <w:r>
              <w:rPr>
                <w:b/>
                <w:bCs/>
                <w:color w:val="0F1115"/>
                <w:sz w:val="28"/>
                <w:szCs w:val="28"/>
                <w:lang w:val="en-US"/>
              </w:rPr>
              <w:t>Topic 3. Genetic Diversity: Molecular Mechanisms of DNA Replication and Recombination</w:t>
            </w:r>
          </w:p>
          <w:p w14:paraId="4B51F11B">
            <w:pPr>
              <w:shd w:val="clear" w:color="auto" w:fill="FFFFFF"/>
              <w:jc w:val="both"/>
              <w:rPr>
                <w:color w:val="0F1115"/>
                <w:sz w:val="28"/>
                <w:szCs w:val="28"/>
                <w:lang w:val="en-US"/>
              </w:rPr>
            </w:pPr>
            <w:r>
              <w:rPr>
                <w:color w:val="0F1115"/>
                <w:sz w:val="28"/>
                <w:szCs w:val="28"/>
                <w:lang w:val="en-US"/>
              </w:rPr>
              <w:t>Genetic diversity. Structure and function of DNA replication. Transformation. Transduction. Structure of the DNA molecule.</w:t>
            </w:r>
          </w:p>
          <w:p w14:paraId="32254D9C">
            <w:pPr>
              <w:shd w:val="clear" w:color="auto" w:fill="FFFFFF"/>
              <w:spacing w:before="240"/>
              <w:jc w:val="both"/>
              <w:rPr>
                <w:b/>
                <w:bCs/>
                <w:color w:val="0F1115"/>
                <w:sz w:val="28"/>
                <w:szCs w:val="28"/>
                <w:lang w:val="en-US"/>
              </w:rPr>
            </w:pPr>
            <w:r>
              <w:rPr>
                <w:b/>
                <w:bCs/>
                <w:color w:val="0F1115"/>
                <w:sz w:val="28"/>
                <w:szCs w:val="28"/>
                <w:lang w:val="en-US"/>
              </w:rPr>
              <w:t>Topic 4. Genetic and Cytological Maps. Human Karyotype and Chromosome Groups</w:t>
            </w:r>
          </w:p>
          <w:p w14:paraId="219B6BC2">
            <w:pPr>
              <w:shd w:val="clear" w:color="auto" w:fill="FFFFFF"/>
              <w:jc w:val="both"/>
              <w:rPr>
                <w:color w:val="0F1115"/>
                <w:sz w:val="28"/>
                <w:szCs w:val="28"/>
                <w:lang w:val="en-US"/>
              </w:rPr>
            </w:pPr>
            <w:r>
              <w:rPr>
                <w:color w:val="0F1115"/>
                <w:sz w:val="28"/>
                <w:szCs w:val="28"/>
                <w:lang w:val="en-US"/>
              </w:rPr>
              <w:t>Chromosomal and genomic mutations. Polyploidy and heteroploidy. Autopolyploidy and allopolyploidy. Cytoplasmic mutations. Spontaneous and induced mutations. Methods for studying mutations.</w:t>
            </w:r>
          </w:p>
          <w:p w14:paraId="27964169">
            <w:pPr>
              <w:shd w:val="clear" w:color="auto" w:fill="FFFFFF"/>
              <w:spacing w:before="240"/>
              <w:jc w:val="both"/>
              <w:rPr>
                <w:b/>
                <w:bCs/>
                <w:color w:val="0F1115"/>
                <w:sz w:val="28"/>
                <w:szCs w:val="28"/>
                <w:lang w:val="en-US"/>
              </w:rPr>
            </w:pPr>
            <w:r>
              <w:rPr>
                <w:b/>
                <w:bCs/>
                <w:color w:val="0F1115"/>
                <w:sz w:val="28"/>
                <w:szCs w:val="28"/>
                <w:lang w:val="en-US"/>
              </w:rPr>
              <w:t>Topic 5. Variability of Genetic Material</w:t>
            </w:r>
          </w:p>
          <w:p w14:paraId="6281A7DF">
            <w:pPr>
              <w:shd w:val="clear" w:color="auto" w:fill="FFFFFF"/>
              <w:jc w:val="both"/>
              <w:rPr>
                <w:color w:val="0F1115"/>
                <w:sz w:val="28"/>
                <w:szCs w:val="28"/>
                <w:lang w:val="en-US"/>
              </w:rPr>
            </w:pPr>
            <w:r>
              <w:rPr>
                <w:color w:val="0F1115"/>
                <w:sz w:val="28"/>
                <w:szCs w:val="28"/>
                <w:lang w:val="en-US"/>
              </w:rPr>
              <w:t>Variability and its types. Mutational variability and its classification. Gene or point mutations. Molecular mechanisms of mutation and DNA repair.</w:t>
            </w:r>
          </w:p>
          <w:p w14:paraId="6E35CE1F">
            <w:pPr>
              <w:shd w:val="clear" w:color="auto" w:fill="FFFFFF"/>
              <w:spacing w:before="240"/>
              <w:jc w:val="both"/>
              <w:rPr>
                <w:b/>
                <w:bCs/>
                <w:color w:val="0F1115"/>
                <w:sz w:val="28"/>
                <w:szCs w:val="28"/>
                <w:lang w:val="en-US"/>
              </w:rPr>
            </w:pPr>
            <w:r>
              <w:rPr>
                <w:b/>
                <w:bCs/>
                <w:color w:val="0F1115"/>
                <w:sz w:val="28"/>
                <w:szCs w:val="28"/>
                <w:lang w:val="en-US"/>
              </w:rPr>
              <w:t>Topic 6. Bioengineering Based on Genetic Engineering Methods</w:t>
            </w:r>
          </w:p>
          <w:p w14:paraId="23121145">
            <w:pPr>
              <w:shd w:val="clear" w:color="auto" w:fill="FFFFFF"/>
              <w:jc w:val="both"/>
              <w:rPr>
                <w:color w:val="0F1115"/>
                <w:sz w:val="28"/>
                <w:szCs w:val="28"/>
                <w:lang w:val="en-US"/>
              </w:rPr>
            </w:pPr>
            <w:r>
              <w:rPr>
                <w:color w:val="0F1115"/>
                <w:sz w:val="28"/>
                <w:szCs w:val="28"/>
                <w:lang w:val="en-US"/>
              </w:rPr>
              <w:t>Genetic engineering as a branch of nanobiotechnology. Methods for isolating genes for introduction into other organisms. Technology for introducing genes into cells. Methods for introducing DNA into host organism cells. Use of bacteriophages in genetic engineering for creating hybrid materials.</w:t>
            </w:r>
          </w:p>
          <w:p w14:paraId="555CFE12">
            <w:pPr>
              <w:shd w:val="clear" w:color="auto" w:fill="FFFFFF"/>
              <w:spacing w:before="240"/>
              <w:jc w:val="both"/>
              <w:rPr>
                <w:b/>
                <w:bCs/>
                <w:color w:val="0F1115"/>
                <w:sz w:val="28"/>
                <w:szCs w:val="28"/>
                <w:lang w:val="en-US"/>
              </w:rPr>
            </w:pPr>
            <w:r>
              <w:rPr>
                <w:b/>
                <w:bCs/>
                <w:color w:val="0F1115"/>
                <w:sz w:val="28"/>
                <w:szCs w:val="28"/>
                <w:lang w:val="en-US"/>
              </w:rPr>
              <w:t>Topic 7. Transcription, Translation, and Protein Synthesis: DNA Replication and Repair</w:t>
            </w:r>
          </w:p>
          <w:p w14:paraId="072D5631">
            <w:pPr>
              <w:shd w:val="clear" w:color="auto" w:fill="FFFFFF"/>
              <w:jc w:val="both"/>
              <w:rPr>
                <w:color w:val="0F1115"/>
                <w:sz w:val="28"/>
                <w:szCs w:val="28"/>
                <w:lang w:val="en-US"/>
              </w:rPr>
            </w:pPr>
            <w:r>
              <w:rPr>
                <w:color w:val="0F1115"/>
                <w:sz w:val="28"/>
                <w:szCs w:val="28"/>
                <w:lang w:val="en-US"/>
              </w:rPr>
              <w:t>Transcription, translation, and protein synthesis. Start and stop codons, messenger RNA, ribosomes and their subunits, initiation, elongation, and termination factors.</w:t>
            </w:r>
          </w:p>
          <w:p w14:paraId="6B8478B1">
            <w:pPr>
              <w:shd w:val="clear" w:color="auto" w:fill="FFFFFF"/>
              <w:spacing w:before="240"/>
              <w:jc w:val="both"/>
              <w:rPr>
                <w:b/>
                <w:bCs/>
                <w:color w:val="0F1115"/>
                <w:sz w:val="28"/>
                <w:szCs w:val="28"/>
                <w:lang w:val="en-US"/>
              </w:rPr>
            </w:pPr>
            <w:r>
              <w:rPr>
                <w:b/>
                <w:bCs/>
                <w:color w:val="0F1115"/>
                <w:sz w:val="28"/>
                <w:szCs w:val="28"/>
                <w:lang w:val="en-US"/>
              </w:rPr>
              <w:t>Topic 8. Structural Genomics: Analysis of Genomes at the DNA Level</w:t>
            </w:r>
          </w:p>
          <w:p w14:paraId="71504C45">
            <w:pPr>
              <w:shd w:val="clear" w:color="auto" w:fill="FFFFFF"/>
              <w:jc w:val="both"/>
              <w:rPr>
                <w:color w:val="0F1115"/>
                <w:sz w:val="28"/>
                <w:szCs w:val="28"/>
                <w:lang w:val="en-US"/>
              </w:rPr>
            </w:pPr>
            <w:r>
              <w:rPr>
                <w:color w:val="0F1115"/>
                <w:sz w:val="28"/>
                <w:szCs w:val="28"/>
                <w:lang w:val="en-US"/>
              </w:rPr>
              <w:t>Analysis of genomes at the DNA level: PCR, gel electrophoresis, restriction digestion, molecular cloning, and sequencing methods.</w:t>
            </w:r>
          </w:p>
          <w:p w14:paraId="23282408">
            <w:pPr>
              <w:shd w:val="clear" w:color="auto" w:fill="FFFFFF"/>
              <w:spacing w:before="240"/>
              <w:jc w:val="both"/>
              <w:rPr>
                <w:b/>
                <w:bCs/>
                <w:color w:val="0F1115"/>
                <w:sz w:val="28"/>
                <w:szCs w:val="28"/>
                <w:lang w:val="en-US"/>
              </w:rPr>
            </w:pPr>
            <w:r>
              <w:rPr>
                <w:b/>
                <w:bCs/>
                <w:color w:val="0F1115"/>
                <w:sz w:val="28"/>
                <w:szCs w:val="28"/>
                <w:lang w:val="en-US"/>
              </w:rPr>
              <w:t>Topic 9. Structural Genomics: Analysis of Genomes at the DNA Level</w:t>
            </w:r>
          </w:p>
          <w:p w14:paraId="308AF54B">
            <w:pPr>
              <w:shd w:val="clear" w:color="auto" w:fill="FFFFFF"/>
              <w:jc w:val="both"/>
              <w:rPr>
                <w:color w:val="0F1115"/>
                <w:sz w:val="28"/>
                <w:szCs w:val="28"/>
                <w:lang w:val="en-US"/>
              </w:rPr>
            </w:pPr>
            <w:r>
              <w:rPr>
                <w:color w:val="0F1115"/>
                <w:sz w:val="28"/>
                <w:szCs w:val="28"/>
                <w:lang w:val="en-US"/>
              </w:rPr>
              <w:t>Analysis of genomes at the DNA level: PCR, gel electrophoresis, restriction digestion, molecular cloning, and sequencing methods.</w:t>
            </w:r>
          </w:p>
          <w:p w14:paraId="1AE80BCA">
            <w:pPr>
              <w:shd w:val="clear" w:color="auto" w:fill="FFFFFF"/>
              <w:spacing w:before="240"/>
              <w:jc w:val="both"/>
              <w:rPr>
                <w:b/>
                <w:bCs/>
                <w:color w:val="0F1115"/>
                <w:sz w:val="28"/>
                <w:szCs w:val="28"/>
                <w:lang w:val="en-US"/>
              </w:rPr>
            </w:pPr>
            <w:r>
              <w:rPr>
                <w:b/>
                <w:bCs/>
                <w:color w:val="0F1115"/>
                <w:sz w:val="28"/>
                <w:szCs w:val="28"/>
                <w:lang w:val="en-US"/>
              </w:rPr>
              <w:t>Topic 10. Functional Genomics: Gene Knockout and RNA Interference</w:t>
            </w:r>
          </w:p>
          <w:p w14:paraId="5DF10C65">
            <w:pPr>
              <w:shd w:val="clear" w:color="auto" w:fill="FFFFFF"/>
              <w:jc w:val="both"/>
              <w:rPr>
                <w:color w:val="0F1115"/>
                <w:sz w:val="28"/>
                <w:szCs w:val="28"/>
                <w:lang w:val="en-US"/>
              </w:rPr>
            </w:pPr>
            <w:r>
              <w:rPr>
                <w:color w:val="0F1115"/>
                <w:sz w:val="28"/>
                <w:szCs w:val="28"/>
                <w:lang w:val="en-US"/>
              </w:rPr>
              <w:t>Gene clusters, promoters. TATA box, CAAT box, enhancers, and silencers.</w:t>
            </w:r>
          </w:p>
          <w:p w14:paraId="4001056A">
            <w:pPr>
              <w:shd w:val="clear" w:color="auto" w:fill="FFFFFF"/>
              <w:spacing w:before="240"/>
              <w:jc w:val="both"/>
              <w:rPr>
                <w:b/>
                <w:bCs/>
                <w:color w:val="0F1115"/>
                <w:sz w:val="28"/>
                <w:szCs w:val="28"/>
                <w:lang w:val="en-US"/>
              </w:rPr>
            </w:pPr>
            <w:r>
              <w:rPr>
                <w:b/>
                <w:bCs/>
                <w:color w:val="0F1115"/>
                <w:sz w:val="28"/>
                <w:szCs w:val="28"/>
                <w:lang w:val="en-US"/>
              </w:rPr>
              <w:t>Topic 11. Genetic Engineering and Nanotechnology in Microorganisms</w:t>
            </w:r>
          </w:p>
          <w:p w14:paraId="037569D8">
            <w:pPr>
              <w:shd w:val="clear" w:color="auto" w:fill="FFFFFF"/>
              <w:jc w:val="both"/>
              <w:rPr>
                <w:color w:val="0F1115"/>
                <w:sz w:val="28"/>
                <w:szCs w:val="28"/>
                <w:lang w:val="en-US"/>
              </w:rPr>
            </w:pPr>
            <w:r>
              <w:rPr>
                <w:color w:val="0F1115"/>
                <w:sz w:val="28"/>
                <w:szCs w:val="28"/>
                <w:lang w:val="en-US"/>
              </w:rPr>
              <w:t>Methods of genetic engineering in microorganisms, use of nanotechnology, examples, applications in food industry, medicine, agriculture, and future prospects.</w:t>
            </w:r>
          </w:p>
          <w:p w14:paraId="7B213BFE">
            <w:pPr>
              <w:shd w:val="clear" w:color="auto" w:fill="FFFFFF"/>
              <w:spacing w:before="240"/>
              <w:jc w:val="both"/>
              <w:rPr>
                <w:b/>
                <w:bCs/>
                <w:color w:val="0F1115"/>
                <w:sz w:val="28"/>
                <w:szCs w:val="28"/>
                <w:lang w:val="en-US"/>
              </w:rPr>
            </w:pPr>
            <w:r>
              <w:rPr>
                <w:b/>
                <w:bCs/>
                <w:color w:val="0F1115"/>
                <w:sz w:val="28"/>
                <w:szCs w:val="28"/>
                <w:lang w:val="en-US"/>
              </w:rPr>
              <w:t>Topic 12. Genetic Engineering and Nanotechnology in Plants</w:t>
            </w:r>
          </w:p>
          <w:p w14:paraId="4A6A2D34">
            <w:pPr>
              <w:shd w:val="clear" w:color="auto" w:fill="FFFFFF"/>
              <w:jc w:val="both"/>
              <w:rPr>
                <w:color w:val="0F1115"/>
                <w:sz w:val="28"/>
                <w:szCs w:val="28"/>
                <w:lang w:val="en-US"/>
              </w:rPr>
            </w:pPr>
            <w:r>
              <w:rPr>
                <w:color w:val="0F1115"/>
                <w:sz w:val="28"/>
                <w:szCs w:val="28"/>
                <w:lang w:val="en-US"/>
              </w:rPr>
              <w:t>Methods of genetic engineering in plants, use of nanotechnology, examples, applications in food industry, medicine, agriculture, and future prospects.</w:t>
            </w:r>
          </w:p>
          <w:p w14:paraId="19DC7E48">
            <w:pPr>
              <w:shd w:val="clear" w:color="auto" w:fill="FFFFFF"/>
              <w:spacing w:before="240"/>
              <w:jc w:val="both"/>
              <w:rPr>
                <w:b/>
                <w:bCs/>
                <w:color w:val="0F1115"/>
                <w:sz w:val="28"/>
                <w:szCs w:val="28"/>
                <w:lang w:val="en-US"/>
              </w:rPr>
            </w:pPr>
            <w:r>
              <w:rPr>
                <w:b/>
                <w:bCs/>
                <w:color w:val="0F1115"/>
                <w:sz w:val="28"/>
                <w:szCs w:val="28"/>
                <w:lang w:val="en-US"/>
              </w:rPr>
              <w:t>Topic 13. Genetic Engineering and Nanotechnology in Animals</w:t>
            </w:r>
          </w:p>
          <w:p w14:paraId="66550465">
            <w:pPr>
              <w:shd w:val="clear" w:color="auto" w:fill="FFFFFF"/>
              <w:jc w:val="both"/>
              <w:rPr>
                <w:color w:val="0F1115"/>
                <w:sz w:val="28"/>
                <w:szCs w:val="28"/>
                <w:lang w:val="en-US"/>
              </w:rPr>
            </w:pPr>
            <w:r>
              <w:rPr>
                <w:color w:val="0F1115"/>
                <w:sz w:val="28"/>
                <w:szCs w:val="28"/>
                <w:lang w:val="en-US"/>
              </w:rPr>
              <w:t>Methods of genetic engineering in animals, use of nanotechnology, examples, applications in food industry, medicine, agriculture, and future prospects.</w:t>
            </w:r>
          </w:p>
          <w:p w14:paraId="4C827FCE">
            <w:pPr>
              <w:shd w:val="clear" w:color="auto" w:fill="FFFFFF"/>
              <w:spacing w:before="240"/>
              <w:jc w:val="both"/>
              <w:rPr>
                <w:b/>
                <w:bCs/>
                <w:color w:val="0F1115"/>
                <w:sz w:val="28"/>
                <w:szCs w:val="28"/>
                <w:lang w:val="en-US"/>
              </w:rPr>
            </w:pPr>
            <w:r>
              <w:rPr>
                <w:b/>
                <w:bCs/>
                <w:color w:val="0F1115"/>
                <w:sz w:val="28"/>
                <w:szCs w:val="28"/>
                <w:lang w:val="en-US"/>
              </w:rPr>
              <w:t>Topic 14. Medical Bioengineering</w:t>
            </w:r>
          </w:p>
          <w:p w14:paraId="66969518">
            <w:pPr>
              <w:shd w:val="clear" w:color="auto" w:fill="FFFFFF"/>
              <w:jc w:val="both"/>
              <w:rPr>
                <w:color w:val="0F1115"/>
                <w:sz w:val="28"/>
                <w:szCs w:val="28"/>
                <w:lang w:val="en-US"/>
              </w:rPr>
            </w:pPr>
            <w:r>
              <w:rPr>
                <w:color w:val="0F1115"/>
                <w:sz w:val="28"/>
                <w:szCs w:val="28"/>
                <w:lang w:val="en-US"/>
              </w:rPr>
              <w:t>Drug delivery using nanotechnology. Nanodevices, protein delivery via nanotechnology. Nanoelectronic biosensors. Nanorobots.</w:t>
            </w:r>
          </w:p>
          <w:p w14:paraId="70C2BD3F">
            <w:pPr>
              <w:shd w:val="clear" w:color="auto" w:fill="FFFFFF"/>
              <w:spacing w:before="240"/>
              <w:jc w:val="both"/>
              <w:rPr>
                <w:b/>
                <w:bCs/>
                <w:color w:val="0F1115"/>
                <w:sz w:val="28"/>
                <w:szCs w:val="28"/>
                <w:lang w:val="en-US"/>
              </w:rPr>
            </w:pPr>
            <w:r>
              <w:rPr>
                <w:b/>
                <w:bCs/>
                <w:color w:val="0F1115"/>
                <w:sz w:val="28"/>
                <w:szCs w:val="28"/>
                <w:lang w:val="en-US"/>
              </w:rPr>
              <w:t>Topic 15. Student’s T-Test, Critical T-Value, and Wilcoxon-Mann-Whitney U Test</w:t>
            </w:r>
          </w:p>
          <w:p w14:paraId="39E2A3F8">
            <w:pPr>
              <w:shd w:val="clear" w:color="auto" w:fill="FFFFFF"/>
              <w:jc w:val="both"/>
              <w:rPr>
                <w:color w:val="0F1115"/>
                <w:sz w:val="28"/>
                <w:szCs w:val="28"/>
                <w:lang w:val="en-US"/>
              </w:rPr>
            </w:pPr>
            <w:r>
              <w:rPr>
                <w:color w:val="0F1115"/>
                <w:sz w:val="28"/>
                <w:szCs w:val="28"/>
                <w:lang w:val="en-US"/>
              </w:rPr>
              <w:t>Concept and application of Student’s T-test and its representation in scientific work. Concept, application, and implementation of the Wilcoxon-Mann-Whitney U test. Implementation using modern software.</w:t>
            </w:r>
          </w:p>
          <w:p w14:paraId="5B1616BE">
            <w:pPr>
              <w:pStyle w:val="14"/>
              <w:spacing w:before="0" w:beforeAutospacing="0" w:after="0" w:afterAutospacing="0"/>
              <w:ind w:firstLine="259"/>
              <w:jc w:val="center"/>
              <w:rPr>
                <w:sz w:val="28"/>
                <w:szCs w:val="28"/>
                <w:lang w:val="en-US"/>
              </w:rPr>
            </w:pPr>
            <w:r>
              <w:rPr>
                <w:rStyle w:val="9"/>
                <w:sz w:val="28"/>
                <w:szCs w:val="28"/>
                <w:lang w:val="en-US"/>
              </w:rPr>
              <w:t>III. GUIDELINES AND RECOMMENDATIONS FOR PRACTICAL SESSION</w:t>
            </w:r>
          </w:p>
          <w:p w14:paraId="79736145">
            <w:pPr>
              <w:pStyle w:val="14"/>
              <w:spacing w:before="0" w:beforeAutospacing="0" w:after="0" w:afterAutospacing="0"/>
              <w:ind w:firstLine="259"/>
              <w:jc w:val="both"/>
              <w:rPr>
                <w:b/>
                <w:bCs/>
                <w:sz w:val="28"/>
                <w:szCs w:val="28"/>
                <w:lang w:val="en-US"/>
              </w:rPr>
            </w:pPr>
            <w:r>
              <w:rPr>
                <w:b/>
                <w:bCs/>
                <w:sz w:val="28"/>
                <w:szCs w:val="28"/>
                <w:lang w:val="en-US"/>
              </w:rPr>
              <w:t>Recommended topics and instructions for conducting Topics:</w:t>
            </w:r>
          </w:p>
          <w:p w14:paraId="70DB7D8D">
            <w:pPr>
              <w:shd w:val="clear" w:color="auto" w:fill="FFFFFF"/>
              <w:spacing w:before="240"/>
              <w:ind w:firstLine="259"/>
              <w:jc w:val="both"/>
              <w:rPr>
                <w:b/>
                <w:bCs/>
                <w:color w:val="0F1115"/>
                <w:sz w:val="28"/>
                <w:szCs w:val="28"/>
                <w:lang w:val="en-US"/>
              </w:rPr>
            </w:pPr>
            <w:r>
              <w:rPr>
                <w:b/>
                <w:bCs/>
                <w:color w:val="0F1115"/>
                <w:sz w:val="28"/>
                <w:szCs w:val="28"/>
                <w:lang w:val="en-US"/>
              </w:rPr>
              <w:t>Topic 1. Emergence and Historical Development of Genomics</w:t>
            </w:r>
          </w:p>
          <w:p w14:paraId="2879480F">
            <w:pPr>
              <w:shd w:val="clear" w:color="auto" w:fill="FFFFFF"/>
              <w:ind w:firstLine="259"/>
              <w:jc w:val="both"/>
              <w:rPr>
                <w:color w:val="0F1115"/>
                <w:sz w:val="28"/>
                <w:szCs w:val="28"/>
                <w:lang w:val="en-US"/>
              </w:rPr>
            </w:pPr>
            <w:r>
              <w:rPr>
                <w:color w:val="0F1115"/>
                <w:sz w:val="28"/>
                <w:szCs w:val="28"/>
                <w:lang w:val="en-US"/>
              </w:rPr>
              <w:t>Examines the origins and evolutionary milestones of genomics as a scientific discipline. Studies key contributors like J. Watson and F. Crick, whose research laid the foundation for genomic science. Analyzes major scientific and technological revolutions that enabled achievements such as the Human Genome Project and the genomic revolution.</w:t>
            </w:r>
          </w:p>
          <w:p w14:paraId="7D50686C">
            <w:pPr>
              <w:shd w:val="clear" w:color="auto" w:fill="FFFFFF"/>
              <w:spacing w:before="240"/>
              <w:ind w:firstLine="259"/>
              <w:jc w:val="both"/>
              <w:rPr>
                <w:b/>
                <w:bCs/>
                <w:color w:val="0F1115"/>
                <w:sz w:val="28"/>
                <w:szCs w:val="28"/>
                <w:lang w:val="en-US"/>
              </w:rPr>
            </w:pPr>
            <w:r>
              <w:rPr>
                <w:b/>
                <w:bCs/>
                <w:color w:val="0F1115"/>
                <w:sz w:val="28"/>
                <w:szCs w:val="28"/>
                <w:lang w:val="en-US"/>
              </w:rPr>
              <w:t>Topic 2. Gene Structure in Different Organisms</w:t>
            </w:r>
          </w:p>
          <w:p w14:paraId="4FCE3D17">
            <w:pPr>
              <w:shd w:val="clear" w:color="auto" w:fill="FFFFFF"/>
              <w:ind w:firstLine="259"/>
              <w:jc w:val="both"/>
              <w:rPr>
                <w:color w:val="0F1115"/>
                <w:sz w:val="28"/>
                <w:szCs w:val="28"/>
                <w:lang w:val="en-US"/>
              </w:rPr>
            </w:pPr>
            <w:r>
              <w:rPr>
                <w:color w:val="0F1115"/>
                <w:sz w:val="28"/>
                <w:szCs w:val="28"/>
                <w:lang w:val="en-US"/>
              </w:rPr>
              <w:t>Explores the structural and functional diversity of genes across various life forms. Investigates how differences in gene organization influence evolution, morphology, and biological traits. Provides insights into life processes and evolutionary pathways through comparative genomic studies.</w:t>
            </w:r>
          </w:p>
          <w:p w14:paraId="6F11EA9F">
            <w:pPr>
              <w:shd w:val="clear" w:color="auto" w:fill="FFFFFF"/>
              <w:spacing w:before="240"/>
              <w:ind w:firstLine="259"/>
              <w:jc w:val="both"/>
              <w:rPr>
                <w:b/>
                <w:bCs/>
                <w:color w:val="0F1115"/>
                <w:sz w:val="28"/>
                <w:szCs w:val="28"/>
                <w:lang w:val="en-US"/>
              </w:rPr>
            </w:pPr>
            <w:r>
              <w:rPr>
                <w:b/>
                <w:bCs/>
                <w:color w:val="0F1115"/>
                <w:sz w:val="28"/>
                <w:szCs w:val="28"/>
                <w:lang w:val="en-US"/>
              </w:rPr>
              <w:t>Topic 3. Gene Clusters, Promoters, TATA Box, CAAT Box, Enhancers, and Silencers</w:t>
            </w:r>
          </w:p>
          <w:p w14:paraId="360A8CCC">
            <w:pPr>
              <w:shd w:val="clear" w:color="auto" w:fill="FFFFFF"/>
              <w:ind w:firstLine="259"/>
              <w:jc w:val="both"/>
              <w:rPr>
                <w:color w:val="0F1115"/>
                <w:sz w:val="28"/>
                <w:szCs w:val="28"/>
                <w:lang w:val="en-US"/>
              </w:rPr>
            </w:pPr>
            <w:r>
              <w:rPr>
                <w:color w:val="0F1115"/>
                <w:sz w:val="28"/>
                <w:szCs w:val="28"/>
                <w:lang w:val="en-US"/>
              </w:rPr>
              <w:t>Studies the organization and roles of regulatory genetic elements such as promoters, TATA and CAAT boxes, enhancers, and silencers. Examines how these structures maintain genomic balance and efficiently regulate genetic activity in organisms.</w:t>
            </w:r>
          </w:p>
          <w:p w14:paraId="52A5C456">
            <w:pPr>
              <w:shd w:val="clear" w:color="auto" w:fill="FFFFFF"/>
              <w:spacing w:before="240"/>
              <w:ind w:firstLine="259"/>
              <w:jc w:val="both"/>
              <w:rPr>
                <w:b/>
                <w:bCs/>
                <w:color w:val="0F1115"/>
                <w:sz w:val="28"/>
                <w:szCs w:val="28"/>
                <w:lang w:val="en-US"/>
              </w:rPr>
            </w:pPr>
            <w:r>
              <w:rPr>
                <w:b/>
                <w:bCs/>
                <w:color w:val="0F1115"/>
                <w:sz w:val="28"/>
                <w:szCs w:val="28"/>
                <w:lang w:val="en-US"/>
              </w:rPr>
              <w:t>Topic 4. Practical Session: Start and Stop Codons, mRNA, Ribosomes and Subunits, Initiation, Elongation, and Termination Factors</w:t>
            </w:r>
          </w:p>
          <w:p w14:paraId="4DC84819">
            <w:pPr>
              <w:shd w:val="clear" w:color="auto" w:fill="FFFFFF"/>
              <w:ind w:firstLine="259"/>
              <w:jc w:val="both"/>
              <w:rPr>
                <w:color w:val="0F1115"/>
                <w:sz w:val="28"/>
                <w:szCs w:val="28"/>
                <w:lang w:val="en-US"/>
              </w:rPr>
            </w:pPr>
            <w:r>
              <w:rPr>
                <w:color w:val="0F1115"/>
                <w:sz w:val="28"/>
                <w:szCs w:val="28"/>
                <w:lang w:val="en-US"/>
              </w:rPr>
              <w:t>Introduces key components of protein synthesis: start/stop codons, messenger RNA, ribosomes, and translation factors. Explores the steps of initiation, elongation, and termination in protein biosynthesis. Discusses the biological significance of these processes.</w:t>
            </w:r>
          </w:p>
          <w:p w14:paraId="39AB6E9E">
            <w:pPr>
              <w:shd w:val="clear" w:color="auto" w:fill="FFFFFF"/>
              <w:spacing w:before="240"/>
              <w:ind w:firstLine="259"/>
              <w:jc w:val="both"/>
              <w:rPr>
                <w:b/>
                <w:bCs/>
                <w:color w:val="0F1115"/>
                <w:sz w:val="28"/>
                <w:szCs w:val="28"/>
                <w:lang w:val="en-US"/>
              </w:rPr>
            </w:pPr>
            <w:r>
              <w:rPr>
                <w:b/>
                <w:bCs/>
                <w:color w:val="0F1115"/>
                <w:sz w:val="28"/>
                <w:szCs w:val="28"/>
                <w:lang w:val="en-US"/>
              </w:rPr>
              <w:t>Topic 5. Restriction Fragment Length Polymorphism (RFLP) Markers</w:t>
            </w:r>
          </w:p>
          <w:p w14:paraId="1782C6B1">
            <w:pPr>
              <w:shd w:val="clear" w:color="auto" w:fill="FFFFFF"/>
              <w:ind w:firstLine="259"/>
              <w:jc w:val="both"/>
              <w:rPr>
                <w:color w:val="0F1115"/>
                <w:sz w:val="28"/>
                <w:szCs w:val="28"/>
                <w:lang w:val="en-US"/>
              </w:rPr>
            </w:pPr>
            <w:r>
              <w:rPr>
                <w:color w:val="0F1115"/>
                <w:sz w:val="28"/>
                <w:szCs w:val="28"/>
                <w:lang w:val="en-US"/>
              </w:rPr>
              <w:t>Explores the principles and applications of RFLP markers in genetic analysis. Studies how variation in DNA fragment lengths, revealed by restriction enzymes, serves as a genetic marker. Examines its use in gene mapping, fingerprinting, and population genetics.</w:t>
            </w:r>
          </w:p>
          <w:p w14:paraId="69B679F6">
            <w:pPr>
              <w:shd w:val="clear" w:color="auto" w:fill="FFFFFF"/>
              <w:spacing w:before="240"/>
              <w:ind w:firstLine="259"/>
              <w:jc w:val="both"/>
              <w:rPr>
                <w:b/>
                <w:bCs/>
                <w:color w:val="0F1115"/>
                <w:sz w:val="28"/>
                <w:szCs w:val="28"/>
                <w:lang w:val="en-US"/>
              </w:rPr>
            </w:pPr>
            <w:r>
              <w:rPr>
                <w:b/>
                <w:bCs/>
                <w:color w:val="0F1115"/>
                <w:sz w:val="28"/>
                <w:szCs w:val="28"/>
                <w:lang w:val="en-US"/>
              </w:rPr>
              <w:t>Topic 6. Simple Sequence Repeats (SSR) and Random Amplified Polymorphic DNA (RAPD) as DNA Markers</w:t>
            </w:r>
          </w:p>
          <w:p w14:paraId="0F0D4574">
            <w:pPr>
              <w:shd w:val="clear" w:color="auto" w:fill="FFFFFF"/>
              <w:ind w:firstLine="259"/>
              <w:jc w:val="both"/>
              <w:rPr>
                <w:color w:val="0F1115"/>
                <w:sz w:val="28"/>
                <w:szCs w:val="28"/>
                <w:lang w:val="en-US"/>
              </w:rPr>
            </w:pPr>
            <w:r>
              <w:rPr>
                <w:color w:val="0F1115"/>
                <w:sz w:val="28"/>
                <w:szCs w:val="28"/>
                <w:lang w:val="en-US"/>
              </w:rPr>
              <w:t>Introduces SSR and RAPD markers and their utility in genetic studies. Examines the structure and function of these markers in detecting nucleotide sequence variations. Analyzes their precision in identifying random mutations and polymorphisms.</w:t>
            </w:r>
          </w:p>
          <w:p w14:paraId="307F33BB">
            <w:pPr>
              <w:shd w:val="clear" w:color="auto" w:fill="FFFFFF"/>
              <w:spacing w:before="240"/>
              <w:ind w:firstLine="259"/>
              <w:jc w:val="both"/>
              <w:rPr>
                <w:b/>
                <w:bCs/>
                <w:color w:val="0F1115"/>
                <w:sz w:val="28"/>
                <w:szCs w:val="28"/>
                <w:lang w:val="en-US"/>
              </w:rPr>
            </w:pPr>
            <w:r>
              <w:rPr>
                <w:b/>
                <w:bCs/>
                <w:color w:val="0F1115"/>
                <w:sz w:val="28"/>
                <w:szCs w:val="28"/>
                <w:lang w:val="en-US"/>
              </w:rPr>
              <w:t>Topic 7. Methylation-Specific PCR (MSP) and Histone Modification Types</w:t>
            </w:r>
          </w:p>
          <w:p w14:paraId="0B2E1BC1">
            <w:pPr>
              <w:shd w:val="clear" w:color="auto" w:fill="FFFFFF"/>
              <w:ind w:firstLine="259"/>
              <w:jc w:val="both"/>
              <w:rPr>
                <w:color w:val="0F1115"/>
                <w:sz w:val="28"/>
                <w:szCs w:val="28"/>
                <w:lang w:val="en-US"/>
              </w:rPr>
            </w:pPr>
            <w:r>
              <w:rPr>
                <w:color w:val="0F1115"/>
                <w:sz w:val="28"/>
                <w:szCs w:val="28"/>
                <w:lang w:val="en-US"/>
              </w:rPr>
              <w:t>Explores epigenetic analysis techniques, focusing on Methylation-Specific PCR (MSP). Studies various histone modifications, including acetylation, methylation, phosphorylation, and ubiquitination. Analyzes chemical changes in amino acid residues during these processes.</w:t>
            </w:r>
          </w:p>
          <w:p w14:paraId="41935074">
            <w:pPr>
              <w:shd w:val="clear" w:color="auto" w:fill="FFFFFF"/>
              <w:spacing w:before="240"/>
              <w:ind w:firstLine="259"/>
              <w:jc w:val="both"/>
              <w:rPr>
                <w:b/>
                <w:bCs/>
                <w:color w:val="0F1115"/>
                <w:sz w:val="28"/>
                <w:szCs w:val="28"/>
                <w:lang w:val="en-US"/>
              </w:rPr>
            </w:pPr>
            <w:r>
              <w:rPr>
                <w:b/>
                <w:bCs/>
                <w:color w:val="0F1115"/>
                <w:sz w:val="28"/>
                <w:szCs w:val="28"/>
                <w:lang w:val="en-US"/>
              </w:rPr>
              <w:t>Topic 8. Studying Gene and Genome Structures Using DNA and Chromosome Models, Charts, and Video Materials</w:t>
            </w:r>
          </w:p>
          <w:p w14:paraId="02EB7FD4">
            <w:pPr>
              <w:shd w:val="clear" w:color="auto" w:fill="FFFFFF"/>
              <w:ind w:firstLine="259"/>
              <w:jc w:val="both"/>
              <w:rPr>
                <w:color w:val="0F1115"/>
                <w:sz w:val="28"/>
                <w:szCs w:val="28"/>
                <w:lang w:val="en-US"/>
              </w:rPr>
            </w:pPr>
            <w:r>
              <w:rPr>
                <w:color w:val="0F1115"/>
                <w:sz w:val="28"/>
                <w:szCs w:val="28"/>
                <w:lang w:val="en-US"/>
              </w:rPr>
              <w:t>Utilizes physical models, charts, and multimedia resources to examine gene and genome architecture. Visualizes DNA double-helix and chromosome organization. Enhances understanding of structural genomics through interactive learning aids.</w:t>
            </w:r>
          </w:p>
          <w:p w14:paraId="70786B86">
            <w:pPr>
              <w:shd w:val="clear" w:color="auto" w:fill="FFFFFF"/>
              <w:ind w:firstLine="259"/>
              <w:jc w:val="both"/>
              <w:rPr>
                <w:b/>
                <w:bCs/>
                <w:color w:val="0F1115"/>
                <w:sz w:val="28"/>
                <w:szCs w:val="28"/>
                <w:lang w:val="en-US"/>
              </w:rPr>
            </w:pPr>
            <w:r>
              <w:rPr>
                <w:b/>
                <w:bCs/>
                <w:color w:val="0F1115"/>
                <w:sz w:val="28"/>
                <w:szCs w:val="28"/>
                <w:lang w:val="en-US"/>
              </w:rPr>
              <w:t>Topic 9. Studying Molecular Mechanisms of DNA Replication and Recombination via Video Materials</w:t>
            </w:r>
          </w:p>
          <w:p w14:paraId="1F938AC9">
            <w:pPr>
              <w:shd w:val="clear" w:color="auto" w:fill="FFFFFF"/>
              <w:ind w:firstLine="259"/>
              <w:jc w:val="both"/>
              <w:rPr>
                <w:color w:val="0F1115"/>
                <w:sz w:val="28"/>
                <w:szCs w:val="28"/>
                <w:lang w:val="en-US"/>
              </w:rPr>
            </w:pPr>
            <w:r>
              <w:rPr>
                <w:color w:val="0F1115"/>
                <w:sz w:val="28"/>
                <w:szCs w:val="28"/>
                <w:lang w:val="en-US"/>
              </w:rPr>
              <w:t>Uses video resources to illustrate the molecular machinery of DNA replication and recombination. Demonstrates enzymatic processes, strand separation, and genetic exchange mechanisms. Facilitates comprehension of these fundamental genetic processes.</w:t>
            </w:r>
          </w:p>
          <w:p w14:paraId="68062C04">
            <w:pPr>
              <w:shd w:val="clear" w:color="auto" w:fill="FFFFFF"/>
              <w:spacing w:before="240"/>
              <w:ind w:firstLine="259"/>
              <w:jc w:val="both"/>
              <w:rPr>
                <w:b/>
                <w:bCs/>
                <w:color w:val="0F1115"/>
                <w:sz w:val="28"/>
                <w:szCs w:val="28"/>
                <w:lang w:val="en-US"/>
              </w:rPr>
            </w:pPr>
            <w:r>
              <w:rPr>
                <w:b/>
                <w:bCs/>
                <w:color w:val="0F1115"/>
                <w:sz w:val="28"/>
                <w:szCs w:val="28"/>
                <w:lang w:val="en-US"/>
              </w:rPr>
              <w:t>Topic 10. Grouping Human Karyotype Chromosomes Based on Genomic Structure</w:t>
            </w:r>
          </w:p>
          <w:p w14:paraId="7A3FFF49">
            <w:pPr>
              <w:shd w:val="clear" w:color="auto" w:fill="FFFFFF"/>
              <w:ind w:firstLine="259"/>
              <w:jc w:val="both"/>
              <w:rPr>
                <w:color w:val="0F1115"/>
                <w:sz w:val="28"/>
                <w:szCs w:val="28"/>
                <w:lang w:val="en-US"/>
              </w:rPr>
            </w:pPr>
            <w:r>
              <w:rPr>
                <w:color w:val="0F1115"/>
                <w:sz w:val="28"/>
                <w:szCs w:val="28"/>
                <w:lang w:val="en-US"/>
              </w:rPr>
              <w:t>Classifies human chromosomes within a karyotype according to genomic structure and morphology. Introduces fundamental genomics projects, particularly the Human Genome Project. Examines the latest analytical models and findings from human genome research.</w:t>
            </w:r>
          </w:p>
          <w:p w14:paraId="567A64F5">
            <w:pPr>
              <w:shd w:val="clear" w:color="auto" w:fill="FFFFFF"/>
              <w:spacing w:before="240"/>
              <w:ind w:firstLine="259"/>
              <w:jc w:val="both"/>
              <w:rPr>
                <w:b/>
                <w:bCs/>
                <w:color w:val="0F1115"/>
                <w:sz w:val="28"/>
                <w:szCs w:val="28"/>
                <w:lang w:val="en-US"/>
              </w:rPr>
            </w:pPr>
            <w:r>
              <w:rPr>
                <w:b/>
                <w:bCs/>
                <w:color w:val="0F1115"/>
                <w:sz w:val="28"/>
                <w:szCs w:val="28"/>
                <w:lang w:val="en-US"/>
              </w:rPr>
              <w:t>Topic 11. Solving Problems Related to Quantifying Nitrogenous Bases Involved in Genetic Information Realization</w:t>
            </w:r>
          </w:p>
          <w:p w14:paraId="04318231">
            <w:pPr>
              <w:shd w:val="clear" w:color="auto" w:fill="FFFFFF"/>
              <w:ind w:firstLine="259"/>
              <w:jc w:val="both"/>
              <w:rPr>
                <w:color w:val="0F1115"/>
                <w:sz w:val="28"/>
                <w:szCs w:val="28"/>
                <w:lang w:val="en-US"/>
              </w:rPr>
            </w:pPr>
            <w:r>
              <w:rPr>
                <w:color w:val="0F1115"/>
                <w:sz w:val="28"/>
                <w:szCs w:val="28"/>
                <w:lang w:val="en-US"/>
              </w:rPr>
              <w:t>Practices calculating quantities of nitrogenous bases (adenine, thymine, cytosine, guanine) involved in genetic expression. Applies base-pairing rules and stoichiometric principles to solve genetics problems. Develops quantitative reasoning in molecular genetics.</w:t>
            </w:r>
          </w:p>
          <w:p w14:paraId="135D4596">
            <w:pPr>
              <w:shd w:val="clear" w:color="auto" w:fill="FFFFFF"/>
              <w:spacing w:before="240"/>
              <w:ind w:firstLine="259"/>
              <w:jc w:val="both"/>
              <w:rPr>
                <w:b/>
                <w:bCs/>
                <w:color w:val="0F1115"/>
                <w:sz w:val="28"/>
                <w:szCs w:val="28"/>
                <w:lang w:val="en-US"/>
              </w:rPr>
            </w:pPr>
            <w:r>
              <w:rPr>
                <w:b/>
                <w:bCs/>
                <w:color w:val="0F1115"/>
                <w:sz w:val="28"/>
                <w:szCs w:val="28"/>
                <w:lang w:val="en-US"/>
              </w:rPr>
              <w:t>Topic 12. Genetically Modified Organisms (GMOs) and Their Biosafety</w:t>
            </w:r>
          </w:p>
          <w:p w14:paraId="7A5C5036">
            <w:pPr>
              <w:shd w:val="clear" w:color="auto" w:fill="FFFFFF"/>
              <w:ind w:firstLine="259"/>
              <w:jc w:val="both"/>
              <w:rPr>
                <w:color w:val="0F1115"/>
                <w:sz w:val="28"/>
                <w:szCs w:val="28"/>
                <w:lang w:val="en-US"/>
              </w:rPr>
            </w:pPr>
            <w:r>
              <w:rPr>
                <w:color w:val="0F1115"/>
                <w:sz w:val="28"/>
                <w:szCs w:val="28"/>
                <w:lang w:val="en-US"/>
              </w:rPr>
              <w:t>Analyzes GMOs from an industrial-scale biosafety perspective. Compares GMO-derived products with natural counterparts in terms of similarities and differences. Evaluates environmental, health, and regulatory aspects of GMO technology.</w:t>
            </w:r>
          </w:p>
          <w:p w14:paraId="50FC0D79">
            <w:pPr>
              <w:shd w:val="clear" w:color="auto" w:fill="FFFFFF"/>
              <w:spacing w:before="240"/>
              <w:ind w:firstLine="259"/>
              <w:jc w:val="both"/>
              <w:rPr>
                <w:b/>
                <w:bCs/>
                <w:color w:val="0F1115"/>
                <w:sz w:val="28"/>
                <w:szCs w:val="28"/>
                <w:lang w:val="en-US"/>
              </w:rPr>
            </w:pPr>
            <w:r>
              <w:rPr>
                <w:b/>
                <w:bCs/>
                <w:color w:val="0F1115"/>
                <w:sz w:val="28"/>
                <w:szCs w:val="28"/>
                <w:lang w:val="en-US"/>
              </w:rPr>
              <w:t>Topic 13. Contemporary Bioengineering Challenges</w:t>
            </w:r>
          </w:p>
          <w:p w14:paraId="427E3395">
            <w:pPr>
              <w:shd w:val="clear" w:color="auto" w:fill="FFFFFF"/>
              <w:ind w:firstLine="259"/>
              <w:jc w:val="both"/>
              <w:rPr>
                <w:color w:val="0F1115"/>
                <w:sz w:val="28"/>
                <w:szCs w:val="28"/>
                <w:lang w:val="en-US"/>
              </w:rPr>
            </w:pPr>
            <w:r>
              <w:rPr>
                <w:color w:val="0F1115"/>
                <w:sz w:val="28"/>
                <w:szCs w:val="28"/>
                <w:lang w:val="en-US"/>
              </w:rPr>
              <w:t>Examines bioengineering methods in medicine, including their prospects and limitations. Discusses ethical, technical, and societal challenges in modern bioengineering applications. Explores future directions and innovative solutions in the field.</w:t>
            </w:r>
          </w:p>
          <w:p w14:paraId="7ACEBEE1">
            <w:pPr>
              <w:shd w:val="clear" w:color="auto" w:fill="FFFFFF"/>
              <w:spacing w:before="240"/>
              <w:ind w:firstLine="259"/>
              <w:jc w:val="both"/>
              <w:rPr>
                <w:b/>
                <w:bCs/>
                <w:color w:val="0F1115"/>
                <w:sz w:val="28"/>
                <w:szCs w:val="28"/>
                <w:lang w:val="en-US"/>
              </w:rPr>
            </w:pPr>
            <w:r>
              <w:rPr>
                <w:b/>
                <w:bCs/>
                <w:color w:val="0F1115"/>
                <w:sz w:val="28"/>
                <w:szCs w:val="28"/>
                <w:lang w:val="en-US"/>
              </w:rPr>
              <w:t>Topic 14. Analysis of Problems Related to Inheritance of Quantitative Traits</w:t>
            </w:r>
          </w:p>
          <w:p w14:paraId="7E8DC0A7">
            <w:pPr>
              <w:shd w:val="clear" w:color="auto" w:fill="FFFFFF"/>
              <w:ind w:firstLine="259"/>
              <w:jc w:val="both"/>
              <w:rPr>
                <w:color w:val="0F1115"/>
                <w:sz w:val="28"/>
                <w:szCs w:val="28"/>
                <w:lang w:val="en-US"/>
              </w:rPr>
            </w:pPr>
            <w:r>
              <w:rPr>
                <w:color w:val="0F1115"/>
                <w:sz w:val="28"/>
                <w:szCs w:val="28"/>
                <w:lang w:val="en-US"/>
              </w:rPr>
              <w:t>Studies the genetic basis of quantitative trait inheritance through problem-solving. Explores polygenic effects and their contribution to phenotypic variation. Applies genetic principles to analyze continuous traits in populations.</w:t>
            </w:r>
          </w:p>
          <w:p w14:paraId="7C033178">
            <w:pPr>
              <w:shd w:val="clear" w:color="auto" w:fill="FFFFFF"/>
              <w:spacing w:before="240"/>
              <w:ind w:firstLine="259"/>
              <w:jc w:val="both"/>
              <w:rPr>
                <w:b/>
                <w:bCs/>
                <w:color w:val="0F1115"/>
                <w:sz w:val="28"/>
                <w:szCs w:val="28"/>
                <w:lang w:val="en-US"/>
              </w:rPr>
            </w:pPr>
            <w:r>
              <w:rPr>
                <w:b/>
                <w:bCs/>
                <w:color w:val="0F1115"/>
                <w:sz w:val="28"/>
                <w:szCs w:val="28"/>
                <w:lang w:val="en-US"/>
              </w:rPr>
              <w:t>Topic 15. Identifying and Statistically Processing Indicators of Certain Morpho-Economic Traits in Hybrid or Line Materials from Genetic Collections</w:t>
            </w:r>
          </w:p>
          <w:p w14:paraId="1F24CB98">
            <w:pPr>
              <w:shd w:val="clear" w:color="auto" w:fill="FFFFFF"/>
              <w:ind w:firstLine="259"/>
              <w:jc w:val="both"/>
              <w:rPr>
                <w:color w:val="0F1115"/>
                <w:sz w:val="28"/>
                <w:szCs w:val="28"/>
                <w:lang w:val="en-US"/>
              </w:rPr>
            </w:pPr>
            <w:r>
              <w:rPr>
                <w:color w:val="0F1115"/>
                <w:sz w:val="28"/>
                <w:szCs w:val="28"/>
                <w:lang w:val="en-US"/>
              </w:rPr>
              <w:t>Focuses on evaluating specific morphological and economic traits in hybrid or pure-line genetic materials. Applies statistical methods to process and interpret trait data. Enhances skills in genetic resource characterization and data analysis.</w:t>
            </w:r>
          </w:p>
          <w:p w14:paraId="3C7F972B">
            <w:pPr>
              <w:shd w:val="clear" w:color="auto" w:fill="FFFFFF"/>
              <w:spacing w:after="100" w:afterAutospacing="1"/>
              <w:ind w:firstLine="255"/>
              <w:jc w:val="both"/>
              <w:rPr>
                <w:color w:val="0F1115"/>
                <w:sz w:val="28"/>
                <w:szCs w:val="28"/>
                <w:lang w:val="en-US"/>
              </w:rPr>
            </w:pPr>
          </w:p>
          <w:p w14:paraId="205C928F">
            <w:pPr>
              <w:pStyle w:val="14"/>
              <w:spacing w:before="0" w:beforeAutospacing="0" w:after="0" w:afterAutospacing="0"/>
              <w:ind w:firstLine="259"/>
              <w:jc w:val="center"/>
              <w:rPr>
                <w:sz w:val="28"/>
                <w:szCs w:val="28"/>
                <w:lang w:val="en-US"/>
              </w:rPr>
            </w:pPr>
            <w:r>
              <w:rPr>
                <w:rStyle w:val="9"/>
                <w:sz w:val="28"/>
                <w:szCs w:val="28"/>
                <w:lang w:val="en-US"/>
              </w:rPr>
              <w:t>IV. INDEPENDENT STUDY AND ASSIGNMENTS</w:t>
            </w:r>
          </w:p>
          <w:p w14:paraId="1A6F43DB">
            <w:pPr>
              <w:pStyle w:val="14"/>
              <w:spacing w:before="0" w:beforeAutospacing="0" w:after="0" w:afterAutospacing="0"/>
              <w:ind w:firstLine="259"/>
              <w:jc w:val="center"/>
              <w:rPr>
                <w:sz w:val="28"/>
                <w:szCs w:val="28"/>
                <w:lang w:val="en-US"/>
              </w:rPr>
            </w:pPr>
            <w:r>
              <w:rPr>
                <w:rStyle w:val="9"/>
                <w:sz w:val="28"/>
                <w:szCs w:val="28"/>
                <w:lang w:val="en-US"/>
              </w:rPr>
              <w:t>Independent Study Tasks</w:t>
            </w:r>
          </w:p>
          <w:p w14:paraId="4EE744CD">
            <w:pPr>
              <w:pStyle w:val="14"/>
              <w:numPr>
                <w:ilvl w:val="0"/>
                <w:numId w:val="1"/>
              </w:numPr>
              <w:tabs>
                <w:tab w:val="clear" w:pos="720"/>
              </w:tabs>
              <w:jc w:val="both"/>
              <w:rPr>
                <w:sz w:val="28"/>
                <w:szCs w:val="28"/>
                <w:lang w:val="en-US"/>
              </w:rPr>
            </w:pPr>
            <w:r>
              <w:rPr>
                <w:sz w:val="28"/>
                <w:szCs w:val="28"/>
                <w:lang w:val="en-US"/>
              </w:rPr>
              <w:t>Modeling the biological significance of mitosis and meiosis and the process of their occurrence;</w:t>
            </w:r>
          </w:p>
          <w:p w14:paraId="194740EB">
            <w:pPr>
              <w:pStyle w:val="14"/>
              <w:numPr>
                <w:ilvl w:val="0"/>
                <w:numId w:val="1"/>
              </w:numPr>
              <w:tabs>
                <w:tab w:val="clear" w:pos="720"/>
              </w:tabs>
              <w:jc w:val="both"/>
              <w:rPr>
                <w:sz w:val="28"/>
                <w:szCs w:val="28"/>
                <w:lang w:val="en-US"/>
              </w:rPr>
            </w:pPr>
            <w:r>
              <w:rPr>
                <w:sz w:val="28"/>
                <w:szCs w:val="28"/>
                <w:lang w:val="en-US"/>
              </w:rPr>
              <w:t>Preparation of maps expressing the origin of the heritability of characters;</w:t>
            </w:r>
          </w:p>
          <w:p w14:paraId="5D92460B">
            <w:pPr>
              <w:pStyle w:val="14"/>
              <w:numPr>
                <w:ilvl w:val="0"/>
                <w:numId w:val="1"/>
              </w:numPr>
              <w:tabs>
                <w:tab w:val="clear" w:pos="720"/>
              </w:tabs>
              <w:jc w:val="both"/>
              <w:rPr>
                <w:sz w:val="28"/>
                <w:szCs w:val="28"/>
                <w:lang w:val="en-US"/>
              </w:rPr>
            </w:pPr>
            <w:r>
              <w:rPr>
                <w:sz w:val="28"/>
                <w:szCs w:val="28"/>
                <w:lang w:val="en-US"/>
              </w:rPr>
              <w:t>Preparation of schemes expressing the causes of the occurrence of polyploidy and heteropolyploidy processes;</w:t>
            </w:r>
          </w:p>
          <w:p w14:paraId="4F96098F">
            <w:pPr>
              <w:pStyle w:val="14"/>
              <w:numPr>
                <w:ilvl w:val="0"/>
                <w:numId w:val="1"/>
              </w:numPr>
              <w:tabs>
                <w:tab w:val="clear" w:pos="720"/>
              </w:tabs>
              <w:jc w:val="both"/>
              <w:rPr>
                <w:sz w:val="28"/>
                <w:szCs w:val="28"/>
                <w:lang w:val="en-US"/>
              </w:rPr>
            </w:pPr>
            <w:r>
              <w:rPr>
                <w:sz w:val="28"/>
                <w:szCs w:val="28"/>
                <w:lang w:val="en-US"/>
              </w:rPr>
              <w:t>Analysis of materials expressing the phenomena of patency and expressivity and their biological significance;</w:t>
            </w:r>
          </w:p>
          <w:p w14:paraId="36082AB0">
            <w:pPr>
              <w:pStyle w:val="14"/>
              <w:numPr>
                <w:ilvl w:val="0"/>
                <w:numId w:val="1"/>
              </w:numPr>
              <w:jc w:val="both"/>
              <w:rPr>
                <w:sz w:val="28"/>
                <w:szCs w:val="28"/>
                <w:lang w:val="en-US"/>
              </w:rPr>
            </w:pPr>
            <w:r>
              <w:rPr>
                <w:sz w:val="28"/>
                <w:szCs w:val="28"/>
                <w:lang w:val="en-US"/>
              </w:rPr>
              <w:t>Preparation of chromosomal aberrations or rearrangements and their models.</w:t>
            </w:r>
          </w:p>
          <w:p w14:paraId="67DCAE9E">
            <w:pPr>
              <w:pStyle w:val="14"/>
              <w:spacing w:before="240" w:beforeAutospacing="0" w:after="0" w:afterAutospacing="0"/>
              <w:ind w:firstLine="259"/>
              <w:jc w:val="both"/>
              <w:rPr>
                <w:sz w:val="28"/>
                <w:szCs w:val="28"/>
                <w:lang w:val="en-US"/>
              </w:rPr>
            </w:pPr>
            <w:r>
              <w:rPr>
                <w:rStyle w:val="9"/>
                <w:sz w:val="28"/>
                <w:szCs w:val="28"/>
                <w:lang w:val="en-US"/>
              </w:rPr>
              <w:t>Guidelines and responsibilities for independent study in the course</w:t>
            </w:r>
          </w:p>
          <w:p w14:paraId="1823D07F">
            <w:pPr>
              <w:pStyle w:val="14"/>
              <w:spacing w:before="0" w:beforeAutospacing="0" w:after="0" w:afterAutospacing="0"/>
              <w:ind w:firstLine="259"/>
              <w:jc w:val="both"/>
              <w:rPr>
                <w:sz w:val="28"/>
                <w:szCs w:val="28"/>
                <w:lang w:val="en-US"/>
              </w:rPr>
            </w:pPr>
            <w:r>
              <w:rPr>
                <w:sz w:val="28"/>
                <w:szCs w:val="28"/>
                <w:lang w:val="en-US"/>
              </w:rPr>
              <w:t>When completing independent study assignments, students are required to:</w:t>
            </w:r>
          </w:p>
          <w:p w14:paraId="2599E039">
            <w:pPr>
              <w:pStyle w:val="14"/>
              <w:spacing w:before="0" w:beforeAutospacing="0" w:after="0" w:afterAutospacing="0"/>
              <w:ind w:firstLine="259"/>
              <w:jc w:val="both"/>
              <w:rPr>
                <w:sz w:val="28"/>
                <w:szCs w:val="28"/>
                <w:lang w:val="en-US"/>
              </w:rPr>
            </w:pPr>
            <w:r>
              <w:rPr>
                <w:sz w:val="28"/>
                <w:szCs w:val="28"/>
                <w:lang w:val="en-US"/>
              </w:rPr>
              <w:t>a) Actively work with textbooks and study materials to gain a deep understanding of the topics covered.</w:t>
            </w:r>
          </w:p>
          <w:p w14:paraId="256B6F44">
            <w:pPr>
              <w:pStyle w:val="14"/>
              <w:spacing w:before="0" w:beforeAutospacing="0" w:after="0" w:afterAutospacing="0"/>
              <w:ind w:firstLine="259"/>
              <w:jc w:val="both"/>
              <w:rPr>
                <w:sz w:val="28"/>
                <w:szCs w:val="28"/>
                <w:lang w:val="en-US"/>
              </w:rPr>
            </w:pPr>
            <w:r>
              <w:rPr>
                <w:sz w:val="28"/>
                <w:szCs w:val="28"/>
                <w:lang w:val="en-US"/>
              </w:rPr>
              <w:t>b) Prepare in advance for lectures, practical and seminar sessions, as well as assessments (tests and exams), and use time efficiently.</w:t>
            </w:r>
          </w:p>
          <w:p w14:paraId="696AA760">
            <w:pPr>
              <w:pStyle w:val="14"/>
              <w:spacing w:before="0" w:beforeAutospacing="0" w:after="0" w:afterAutospacing="0"/>
              <w:ind w:firstLine="259"/>
              <w:jc w:val="both"/>
              <w:rPr>
                <w:sz w:val="28"/>
                <w:szCs w:val="28"/>
                <w:lang w:val="en-US"/>
              </w:rPr>
            </w:pPr>
            <w:r>
              <w:rPr>
                <w:sz w:val="28"/>
                <w:szCs w:val="28"/>
                <w:lang w:val="en-US"/>
              </w:rPr>
              <w:t>c) Submit each independent study assignment within the specified deadlines.</w:t>
            </w:r>
          </w:p>
          <w:p w14:paraId="52EA0065">
            <w:pPr>
              <w:pStyle w:val="14"/>
              <w:spacing w:before="0" w:beforeAutospacing="0" w:after="0" w:afterAutospacing="0"/>
              <w:ind w:firstLine="259"/>
              <w:jc w:val="both"/>
              <w:rPr>
                <w:sz w:val="28"/>
                <w:szCs w:val="28"/>
                <w:lang w:val="en-US"/>
              </w:rPr>
            </w:pPr>
            <w:r>
              <w:rPr>
                <w:sz w:val="28"/>
                <w:szCs w:val="28"/>
                <w:lang w:val="en-US"/>
              </w:rPr>
              <w:t>d) Understand and comply with the rule that assignments submitted after the deadline will not be accepted.</w:t>
            </w:r>
          </w:p>
          <w:p w14:paraId="31025D99">
            <w:pPr>
              <w:pStyle w:val="14"/>
              <w:spacing w:before="0" w:beforeAutospacing="0" w:after="0" w:afterAutospacing="0"/>
              <w:ind w:firstLine="259"/>
              <w:jc w:val="both"/>
              <w:rPr>
                <w:sz w:val="28"/>
                <w:szCs w:val="28"/>
                <w:lang w:val="en-US"/>
              </w:rPr>
            </w:pPr>
            <w:r>
              <w:rPr>
                <w:sz w:val="28"/>
                <w:szCs w:val="28"/>
                <w:lang w:val="en-US"/>
              </w:rPr>
              <w:t>e) Be aware of and avoid plagiarism when completing independent study tasks.</w:t>
            </w:r>
          </w:p>
          <w:p w14:paraId="42CD78AB">
            <w:pPr>
              <w:pStyle w:val="14"/>
              <w:spacing w:before="0" w:beforeAutospacing="0" w:after="0" w:afterAutospacing="0"/>
              <w:ind w:firstLine="259"/>
              <w:jc w:val="both"/>
              <w:rPr>
                <w:sz w:val="28"/>
                <w:szCs w:val="28"/>
                <w:lang w:val="en-US"/>
              </w:rPr>
            </w:pPr>
            <w:r>
              <w:rPr>
                <w:sz w:val="28"/>
                <w:szCs w:val="28"/>
                <w:lang w:val="en-US"/>
              </w:rPr>
              <w:t>Independent study assignments for the course are recommended to be completed using the principle of alternative options:</w:t>
            </w:r>
          </w:p>
          <w:p w14:paraId="5F9B19E7">
            <w:pPr>
              <w:pStyle w:val="14"/>
              <w:numPr>
                <w:ilvl w:val="0"/>
                <w:numId w:val="2"/>
              </w:numPr>
              <w:tabs>
                <w:tab w:val="left" w:pos="538"/>
                <w:tab w:val="clear" w:pos="720"/>
              </w:tabs>
              <w:spacing w:before="0" w:beforeAutospacing="0" w:after="0" w:afterAutospacing="0"/>
              <w:ind w:left="0" w:firstLine="259"/>
              <w:jc w:val="both"/>
              <w:rPr>
                <w:sz w:val="28"/>
                <w:szCs w:val="28"/>
                <w:lang w:val="en-US"/>
              </w:rPr>
            </w:pPr>
            <w:r>
              <w:rPr>
                <w:sz w:val="28"/>
                <w:szCs w:val="28"/>
                <w:lang w:val="en-US"/>
              </w:rPr>
              <w:t>Prepare an analytical report (essay) on the topic.</w:t>
            </w:r>
          </w:p>
          <w:p w14:paraId="5C3D8E54">
            <w:pPr>
              <w:pStyle w:val="14"/>
              <w:numPr>
                <w:ilvl w:val="0"/>
                <w:numId w:val="2"/>
              </w:numPr>
              <w:tabs>
                <w:tab w:val="left" w:pos="538"/>
                <w:tab w:val="clear" w:pos="720"/>
              </w:tabs>
              <w:spacing w:before="0" w:beforeAutospacing="0" w:after="0" w:afterAutospacing="0"/>
              <w:ind w:left="0" w:firstLine="259"/>
              <w:jc w:val="both"/>
              <w:rPr>
                <w:sz w:val="28"/>
                <w:szCs w:val="28"/>
                <w:lang w:val="en-US"/>
              </w:rPr>
            </w:pPr>
            <w:r>
              <w:rPr>
                <w:sz w:val="28"/>
                <w:szCs w:val="28"/>
                <w:lang w:val="en-US"/>
              </w:rPr>
              <w:t>Prepare an analytical presentation on a specific topic.</w:t>
            </w:r>
          </w:p>
          <w:p w14:paraId="408A1D6F">
            <w:pPr>
              <w:pStyle w:val="14"/>
              <w:numPr>
                <w:ilvl w:val="0"/>
                <w:numId w:val="2"/>
              </w:numPr>
              <w:tabs>
                <w:tab w:val="left" w:pos="538"/>
                <w:tab w:val="clear" w:pos="720"/>
              </w:tabs>
              <w:spacing w:before="0" w:beforeAutospacing="0" w:after="0" w:afterAutospacing="0"/>
              <w:ind w:left="0" w:firstLine="259"/>
              <w:jc w:val="both"/>
              <w:rPr>
                <w:sz w:val="28"/>
                <w:szCs w:val="28"/>
                <w:lang w:val="en-US"/>
              </w:rPr>
            </w:pPr>
            <w:r>
              <w:rPr>
                <w:sz w:val="28"/>
                <w:szCs w:val="28"/>
                <w:lang w:val="en-US"/>
              </w:rPr>
              <w:t>Find a solution to a given problem and analyze it.</w:t>
            </w:r>
          </w:p>
          <w:p w14:paraId="0D97FAE7">
            <w:pPr>
              <w:pStyle w:val="14"/>
              <w:numPr>
                <w:ilvl w:val="0"/>
                <w:numId w:val="2"/>
              </w:numPr>
              <w:tabs>
                <w:tab w:val="left" w:pos="538"/>
                <w:tab w:val="clear" w:pos="720"/>
              </w:tabs>
              <w:spacing w:before="0" w:beforeAutospacing="0" w:after="0" w:afterAutospacing="0"/>
              <w:ind w:left="0" w:firstLine="259"/>
              <w:jc w:val="both"/>
              <w:rPr>
                <w:sz w:val="28"/>
                <w:szCs w:val="28"/>
                <w:lang w:val="en-US"/>
              </w:rPr>
            </w:pPr>
            <w:r>
              <w:rPr>
                <w:sz w:val="28"/>
                <w:szCs w:val="28"/>
                <w:lang w:val="en-US"/>
              </w:rPr>
              <w:t>Conduct an in-depth analysis of a given problem, providing definitions and conclusions.</w:t>
            </w:r>
          </w:p>
          <w:p w14:paraId="1A811FA6">
            <w:pPr>
              <w:pStyle w:val="14"/>
              <w:numPr>
                <w:ilvl w:val="0"/>
                <w:numId w:val="2"/>
              </w:numPr>
              <w:tabs>
                <w:tab w:val="left" w:pos="538"/>
                <w:tab w:val="clear" w:pos="720"/>
              </w:tabs>
              <w:spacing w:before="0" w:beforeAutospacing="0" w:after="0" w:afterAutospacing="0"/>
              <w:ind w:left="0" w:firstLine="259"/>
              <w:jc w:val="both"/>
              <w:rPr>
                <w:sz w:val="28"/>
                <w:szCs w:val="28"/>
                <w:lang w:val="en-US"/>
              </w:rPr>
            </w:pPr>
            <w:r>
              <w:rPr>
                <w:sz w:val="28"/>
                <w:szCs w:val="28"/>
                <w:lang w:val="en-US"/>
              </w:rPr>
              <w:t>Study a given topic thoroughly and analyze it at an advanced level.</w:t>
            </w:r>
          </w:p>
          <w:p w14:paraId="66A7F1D4">
            <w:pPr>
              <w:pStyle w:val="14"/>
              <w:numPr>
                <w:ilvl w:val="0"/>
                <w:numId w:val="2"/>
              </w:numPr>
              <w:tabs>
                <w:tab w:val="left" w:pos="538"/>
                <w:tab w:val="clear" w:pos="720"/>
              </w:tabs>
              <w:spacing w:before="0" w:beforeAutospacing="0" w:after="0" w:afterAutospacing="0"/>
              <w:ind w:left="0" w:firstLine="259"/>
              <w:jc w:val="both"/>
              <w:rPr>
                <w:sz w:val="28"/>
                <w:szCs w:val="28"/>
                <w:lang w:val="en-US"/>
              </w:rPr>
            </w:pPr>
            <w:r>
              <w:rPr>
                <w:sz w:val="28"/>
                <w:szCs w:val="28"/>
                <w:lang w:val="en-US"/>
              </w:rPr>
              <w:t>Develop practical problem-solving skills by working on projects, preparing tests, discussion questions, and assignments to find solutions to existing practical issues.</w:t>
            </w:r>
          </w:p>
          <w:p w14:paraId="53F539A4">
            <w:pPr>
              <w:pStyle w:val="14"/>
              <w:numPr>
                <w:ilvl w:val="0"/>
                <w:numId w:val="2"/>
              </w:numPr>
              <w:tabs>
                <w:tab w:val="left" w:pos="538"/>
                <w:tab w:val="clear" w:pos="720"/>
              </w:tabs>
              <w:spacing w:before="0" w:beforeAutospacing="0" w:after="0" w:afterAutospacing="0"/>
              <w:ind w:left="0" w:firstLine="259"/>
              <w:jc w:val="both"/>
              <w:rPr>
                <w:sz w:val="28"/>
                <w:szCs w:val="28"/>
                <w:lang w:val="en-US"/>
              </w:rPr>
            </w:pPr>
            <w:r>
              <w:rPr>
                <w:sz w:val="28"/>
                <w:szCs w:val="28"/>
                <w:lang w:val="en-US"/>
              </w:rPr>
              <w:t>Prepare a scientific article, thesis, or lecture material.</w:t>
            </w:r>
          </w:p>
          <w:p w14:paraId="01B12A70">
            <w:pPr>
              <w:pStyle w:val="14"/>
              <w:numPr>
                <w:ilvl w:val="0"/>
                <w:numId w:val="2"/>
              </w:numPr>
              <w:tabs>
                <w:tab w:val="left" w:pos="538"/>
                <w:tab w:val="clear" w:pos="720"/>
              </w:tabs>
              <w:spacing w:before="0" w:beforeAutospacing="0" w:after="0" w:afterAutospacing="0"/>
              <w:ind w:left="0" w:firstLine="259"/>
              <w:jc w:val="both"/>
              <w:rPr>
                <w:sz w:val="28"/>
                <w:szCs w:val="28"/>
                <w:lang w:val="en-US"/>
              </w:rPr>
            </w:pPr>
            <w:r>
              <w:rPr>
                <w:sz w:val="28"/>
                <w:szCs w:val="28"/>
                <w:lang w:val="en-US"/>
              </w:rPr>
              <w:t>Solve non-standard practical problems creatively.</w:t>
            </w:r>
          </w:p>
          <w:p w14:paraId="04B5C6B6">
            <w:pPr>
              <w:pStyle w:val="14"/>
              <w:spacing w:before="0" w:beforeAutospacing="0" w:after="0" w:afterAutospacing="0"/>
              <w:ind w:firstLine="259"/>
              <w:jc w:val="both"/>
              <w:rPr>
                <w:sz w:val="28"/>
                <w:szCs w:val="28"/>
                <w:lang w:val="en-US"/>
              </w:rPr>
            </w:pPr>
            <w:r>
              <w:rPr>
                <w:sz w:val="28"/>
                <w:szCs w:val="28"/>
                <w:lang w:val="en-US"/>
              </w:rPr>
              <w:t>Independent study assignments are assessed during Topic.s and are taken into account in interim assessments.</w:t>
            </w:r>
          </w:p>
          <w:p w14:paraId="5AB4A689">
            <w:pPr>
              <w:pStyle w:val="15"/>
              <w:ind w:left="0" w:firstLine="259"/>
              <w:jc w:val="both"/>
              <w:rPr>
                <w:rFonts w:ascii="Times New Roman" w:hAnsi="Times New Roman" w:cs="Times New Roman"/>
                <w:sz w:val="28"/>
                <w:szCs w:val="28"/>
                <w:lang w:val="uz-Latn-UZ"/>
              </w:rPr>
            </w:pPr>
          </w:p>
        </w:tc>
      </w:tr>
      <w:tr w14:paraId="334B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shd w:val="clear" w:color="auto" w:fill="FFFFFF" w:themeFill="background1"/>
            <w:vAlign w:val="center"/>
          </w:tcPr>
          <w:p w14:paraId="30BA6133">
            <w:pPr>
              <w:jc w:val="center"/>
              <w:rPr>
                <w:b/>
                <w:sz w:val="28"/>
                <w:szCs w:val="28"/>
                <w:lang w:val="en-US"/>
              </w:rPr>
            </w:pPr>
            <w:r>
              <w:rPr>
                <w:b/>
                <w:sz w:val="28"/>
                <w:szCs w:val="28"/>
                <w:lang w:val="en-US"/>
              </w:rPr>
              <w:t>3.</w:t>
            </w:r>
          </w:p>
        </w:tc>
        <w:tc>
          <w:tcPr>
            <w:tcW w:w="9574" w:type="dxa"/>
            <w:gridSpan w:val="5"/>
            <w:shd w:val="clear" w:color="auto" w:fill="FFFFFF" w:themeFill="background1"/>
            <w:vAlign w:val="center"/>
          </w:tcPr>
          <w:p w14:paraId="094F6FB3">
            <w:pPr>
              <w:pStyle w:val="14"/>
              <w:spacing w:before="0" w:beforeAutospacing="0" w:after="0" w:afterAutospacing="0"/>
              <w:ind w:firstLine="259"/>
              <w:jc w:val="center"/>
              <w:rPr>
                <w:sz w:val="28"/>
                <w:szCs w:val="28"/>
                <w:lang w:val="en-US"/>
              </w:rPr>
            </w:pPr>
            <w:r>
              <w:rPr>
                <w:rStyle w:val="9"/>
                <w:sz w:val="28"/>
                <w:szCs w:val="28"/>
                <w:lang w:val="en-US"/>
              </w:rPr>
              <w:t>V. Learning outcomes / Professional competencies</w:t>
            </w:r>
          </w:p>
          <w:p w14:paraId="15CE971F">
            <w:pPr>
              <w:ind w:firstLine="213"/>
              <w:jc w:val="both"/>
              <w:rPr>
                <w:iCs/>
                <w:sz w:val="28"/>
                <w:szCs w:val="28"/>
                <w:lang w:val="en-US"/>
              </w:rPr>
            </w:pPr>
            <w:r>
              <w:rPr>
                <w:iCs/>
                <w:sz w:val="28"/>
                <w:szCs w:val="28"/>
                <w:lang w:val="en-US"/>
              </w:rPr>
              <w:t>Upon successful completion of the discipline Molecular Genetics at the bachelor’s level, the student will demonstrate knowledge of DNA structure, gene organization, and gene expression. The student will be able to apply basic methods of genetic analysis, interpret molecular genetic data, and use foundational molecular genetics concepts in biotechnology, medicine, and introductory research activities.</w:t>
            </w:r>
          </w:p>
          <w:p w14:paraId="792FA14A">
            <w:pPr>
              <w:pStyle w:val="14"/>
              <w:spacing w:before="0" w:beforeAutospacing="0" w:after="0" w:afterAutospacing="0"/>
              <w:ind w:firstLine="253"/>
              <w:jc w:val="both"/>
              <w:rPr>
                <w:sz w:val="28"/>
                <w:szCs w:val="28"/>
                <w:lang w:val="en-US"/>
              </w:rPr>
            </w:pPr>
          </w:p>
        </w:tc>
      </w:tr>
      <w:tr w14:paraId="55B6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shd w:val="clear" w:color="auto" w:fill="FFFFFF" w:themeFill="background1"/>
            <w:vAlign w:val="center"/>
          </w:tcPr>
          <w:p w14:paraId="3B62E664">
            <w:pPr>
              <w:jc w:val="center"/>
              <w:rPr>
                <w:b/>
                <w:sz w:val="28"/>
                <w:szCs w:val="28"/>
                <w:lang w:val="en-US"/>
              </w:rPr>
            </w:pPr>
            <w:r>
              <w:rPr>
                <w:b/>
                <w:sz w:val="28"/>
                <w:szCs w:val="28"/>
                <w:lang w:val="en-US"/>
              </w:rPr>
              <w:t>4.</w:t>
            </w:r>
          </w:p>
        </w:tc>
        <w:tc>
          <w:tcPr>
            <w:tcW w:w="9574" w:type="dxa"/>
            <w:gridSpan w:val="5"/>
            <w:shd w:val="clear" w:color="auto" w:fill="FFFFFF" w:themeFill="background1"/>
            <w:vAlign w:val="center"/>
          </w:tcPr>
          <w:p w14:paraId="336F8E5F">
            <w:pPr>
              <w:pStyle w:val="14"/>
              <w:spacing w:before="0" w:beforeAutospacing="0" w:after="0" w:afterAutospacing="0"/>
              <w:ind w:firstLine="259"/>
              <w:jc w:val="center"/>
              <w:rPr>
                <w:sz w:val="28"/>
                <w:szCs w:val="28"/>
                <w:lang w:val="en-US"/>
              </w:rPr>
            </w:pPr>
            <w:r>
              <w:rPr>
                <w:rStyle w:val="9"/>
                <w:sz w:val="28"/>
                <w:szCs w:val="28"/>
                <w:lang w:val="en-US"/>
              </w:rPr>
              <w:t>VI. Teaching technologies and methods</w:t>
            </w:r>
          </w:p>
          <w:p w14:paraId="59B5A262">
            <w:pPr>
              <w:pStyle w:val="14"/>
              <w:numPr>
                <w:ilvl w:val="0"/>
                <w:numId w:val="3"/>
              </w:numPr>
              <w:spacing w:before="0" w:beforeAutospacing="0" w:after="0" w:afterAutospacing="0"/>
              <w:ind w:left="0" w:firstLine="259"/>
              <w:jc w:val="both"/>
              <w:rPr>
                <w:sz w:val="28"/>
                <w:szCs w:val="28"/>
              </w:rPr>
            </w:pPr>
            <w:r>
              <w:rPr>
                <w:sz w:val="28"/>
                <w:szCs w:val="28"/>
              </w:rPr>
              <w:t>Lectures</w:t>
            </w:r>
          </w:p>
          <w:p w14:paraId="28237B92">
            <w:pPr>
              <w:pStyle w:val="14"/>
              <w:numPr>
                <w:ilvl w:val="0"/>
                <w:numId w:val="3"/>
              </w:numPr>
              <w:spacing w:before="0" w:beforeAutospacing="0" w:after="0" w:afterAutospacing="0"/>
              <w:ind w:left="0" w:firstLine="259"/>
              <w:jc w:val="both"/>
              <w:rPr>
                <w:sz w:val="28"/>
                <w:szCs w:val="28"/>
              </w:rPr>
            </w:pPr>
            <w:r>
              <w:rPr>
                <w:sz w:val="28"/>
                <w:szCs w:val="28"/>
              </w:rPr>
              <w:t>Interactive case studies</w:t>
            </w:r>
          </w:p>
          <w:p w14:paraId="74484E14">
            <w:pPr>
              <w:pStyle w:val="14"/>
              <w:numPr>
                <w:ilvl w:val="0"/>
                <w:numId w:val="3"/>
              </w:numPr>
              <w:spacing w:before="0" w:beforeAutospacing="0" w:after="0" w:afterAutospacing="0"/>
              <w:ind w:left="0" w:firstLine="259"/>
              <w:jc w:val="both"/>
              <w:rPr>
                <w:sz w:val="28"/>
                <w:szCs w:val="28"/>
              </w:rPr>
            </w:pPr>
            <w:r>
              <w:rPr>
                <w:sz w:val="28"/>
                <w:szCs w:val="28"/>
              </w:rPr>
              <w:t>Topic.s</w:t>
            </w:r>
          </w:p>
          <w:p w14:paraId="14E83E65">
            <w:pPr>
              <w:pStyle w:val="14"/>
              <w:numPr>
                <w:ilvl w:val="0"/>
                <w:numId w:val="3"/>
              </w:numPr>
              <w:spacing w:before="0" w:beforeAutospacing="0" w:after="0" w:afterAutospacing="0"/>
              <w:ind w:left="0" w:firstLine="259"/>
              <w:jc w:val="both"/>
              <w:rPr>
                <w:sz w:val="28"/>
                <w:szCs w:val="28"/>
              </w:rPr>
            </w:pPr>
            <w:r>
              <w:rPr>
                <w:sz w:val="28"/>
                <w:szCs w:val="28"/>
              </w:rPr>
              <w:t>Group work</w:t>
            </w:r>
          </w:p>
          <w:p w14:paraId="2CAE562D">
            <w:pPr>
              <w:pStyle w:val="14"/>
              <w:numPr>
                <w:ilvl w:val="0"/>
                <w:numId w:val="3"/>
              </w:numPr>
              <w:spacing w:before="0" w:beforeAutospacing="0" w:after="0" w:afterAutospacing="0"/>
              <w:ind w:left="0" w:firstLine="259"/>
              <w:jc w:val="both"/>
              <w:rPr>
                <w:sz w:val="28"/>
                <w:szCs w:val="28"/>
              </w:rPr>
            </w:pPr>
            <w:r>
              <w:rPr>
                <w:sz w:val="28"/>
                <w:szCs w:val="28"/>
              </w:rPr>
              <w:t>Presentations</w:t>
            </w:r>
          </w:p>
          <w:p w14:paraId="372CB9A4">
            <w:pPr>
              <w:pStyle w:val="14"/>
              <w:numPr>
                <w:ilvl w:val="0"/>
                <w:numId w:val="3"/>
              </w:numPr>
              <w:spacing w:before="0" w:beforeAutospacing="0" w:after="0" w:afterAutospacing="0"/>
              <w:ind w:left="0" w:firstLine="259"/>
              <w:jc w:val="both"/>
              <w:rPr>
                <w:sz w:val="28"/>
                <w:szCs w:val="28"/>
              </w:rPr>
            </w:pPr>
            <w:r>
              <w:rPr>
                <w:sz w:val="28"/>
                <w:szCs w:val="28"/>
              </w:rPr>
              <w:t>Individual projects</w:t>
            </w:r>
          </w:p>
          <w:p w14:paraId="5C2D6CDC">
            <w:pPr>
              <w:pStyle w:val="14"/>
              <w:numPr>
                <w:ilvl w:val="0"/>
                <w:numId w:val="3"/>
              </w:numPr>
              <w:spacing w:before="0" w:beforeAutospacing="0" w:after="0" w:afterAutospacing="0"/>
              <w:ind w:left="0" w:firstLine="259"/>
              <w:jc w:val="both"/>
              <w:rPr>
                <w:sz w:val="28"/>
                <w:szCs w:val="28"/>
                <w:lang w:val="en-US"/>
              </w:rPr>
            </w:pPr>
            <w:r>
              <w:rPr>
                <w:sz w:val="28"/>
                <w:szCs w:val="28"/>
                <w:lang w:val="en-US"/>
              </w:rPr>
              <w:t>Team projects and their defense</w:t>
            </w:r>
          </w:p>
        </w:tc>
      </w:tr>
      <w:tr w14:paraId="64F3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shd w:val="clear" w:color="auto" w:fill="FFFFFF" w:themeFill="background1"/>
            <w:vAlign w:val="center"/>
          </w:tcPr>
          <w:p w14:paraId="3B4FAB73">
            <w:pPr>
              <w:jc w:val="center"/>
              <w:rPr>
                <w:b/>
                <w:sz w:val="28"/>
                <w:szCs w:val="28"/>
                <w:lang w:val="en-US"/>
              </w:rPr>
            </w:pPr>
            <w:r>
              <w:rPr>
                <w:b/>
                <w:sz w:val="28"/>
                <w:szCs w:val="28"/>
                <w:lang w:val="en-US"/>
              </w:rPr>
              <w:t>5.</w:t>
            </w:r>
          </w:p>
        </w:tc>
        <w:tc>
          <w:tcPr>
            <w:tcW w:w="9574" w:type="dxa"/>
            <w:gridSpan w:val="5"/>
            <w:shd w:val="clear" w:color="auto" w:fill="FFFFFF" w:themeFill="background1"/>
            <w:vAlign w:val="center"/>
          </w:tcPr>
          <w:p w14:paraId="129D58CA">
            <w:pPr>
              <w:pStyle w:val="14"/>
              <w:spacing w:before="0" w:beforeAutospacing="0" w:after="0" w:afterAutospacing="0"/>
              <w:ind w:firstLine="259"/>
              <w:jc w:val="center"/>
              <w:rPr>
                <w:sz w:val="28"/>
                <w:szCs w:val="28"/>
                <w:lang w:val="en-US"/>
              </w:rPr>
            </w:pPr>
            <w:r>
              <w:rPr>
                <w:rStyle w:val="9"/>
                <w:sz w:val="28"/>
                <w:szCs w:val="28"/>
                <w:lang w:val="en-US"/>
              </w:rPr>
              <w:t xml:space="preserve">VII. </w:t>
            </w:r>
            <w:r>
              <w:rPr>
                <w:rFonts w:cstheme="minorHAnsi"/>
                <w:b/>
                <w:bCs/>
                <w:sz w:val="28"/>
                <w:szCs w:val="28"/>
                <w:lang w:val="en-GB"/>
              </w:rPr>
              <w:t>STUDY AND EXAMINATION REQUIREMENTS</w:t>
            </w:r>
          </w:p>
          <w:p w14:paraId="396401F1">
            <w:pPr>
              <w:pStyle w:val="14"/>
              <w:spacing w:before="0" w:beforeAutospacing="0" w:after="0" w:afterAutospacing="0"/>
              <w:ind w:firstLine="259"/>
              <w:jc w:val="both"/>
              <w:rPr>
                <w:sz w:val="28"/>
                <w:szCs w:val="28"/>
                <w:lang w:val="en-US"/>
              </w:rPr>
            </w:pPr>
            <w:r>
              <w:rPr>
                <w:sz w:val="28"/>
                <w:szCs w:val="28"/>
                <w:lang w:val="en-US"/>
              </w:rPr>
              <w:t>Credits allocated for the course are awarded to students only upon achieving positive results in the assessment types for each semester.</w:t>
            </w:r>
          </w:p>
          <w:p w14:paraId="75E919DB">
            <w:pPr>
              <w:pStyle w:val="14"/>
              <w:spacing w:before="0" w:beforeAutospacing="0" w:after="0" w:afterAutospacing="0"/>
              <w:ind w:firstLine="259"/>
              <w:jc w:val="both"/>
              <w:rPr>
                <w:rStyle w:val="9"/>
                <w:b w:val="0"/>
                <w:bCs w:val="0"/>
                <w:sz w:val="28"/>
                <w:szCs w:val="28"/>
                <w:lang w:val="en-US"/>
              </w:rPr>
            </w:pPr>
            <w:r>
              <w:rPr>
                <w:rStyle w:val="9"/>
                <w:b w:val="0"/>
                <w:bCs w:val="0"/>
                <w:sz w:val="28"/>
                <w:szCs w:val="28"/>
                <w:lang w:val="en-US"/>
              </w:rPr>
              <w:t xml:space="preserve">Assessment Types: </w:t>
            </w:r>
          </w:p>
          <w:p w14:paraId="705F1758">
            <w:pPr>
              <w:pStyle w:val="14"/>
              <w:spacing w:before="0" w:beforeAutospacing="0" w:after="0" w:afterAutospacing="0"/>
              <w:ind w:firstLine="259"/>
              <w:jc w:val="both"/>
              <w:rPr>
                <w:sz w:val="28"/>
                <w:szCs w:val="28"/>
                <w:lang w:val="en-US"/>
              </w:rPr>
            </w:pPr>
            <w:r>
              <w:rPr>
                <w:sz w:val="28"/>
                <w:szCs w:val="28"/>
                <w:lang w:val="en-US"/>
              </w:rPr>
              <w:t xml:space="preserve">Student knowledge is evaluated through </w:t>
            </w:r>
            <w:r>
              <w:rPr>
                <w:rStyle w:val="9"/>
                <w:b w:val="0"/>
                <w:bCs w:val="0"/>
                <w:sz w:val="28"/>
                <w:szCs w:val="28"/>
                <w:lang w:val="en-US"/>
              </w:rPr>
              <w:t>interim (IN)</w:t>
            </w:r>
            <w:r>
              <w:rPr>
                <w:sz w:val="28"/>
                <w:szCs w:val="28"/>
                <w:lang w:val="en-US"/>
              </w:rPr>
              <w:t xml:space="preserve"> and </w:t>
            </w:r>
            <w:r>
              <w:rPr>
                <w:rStyle w:val="9"/>
                <w:b w:val="0"/>
                <w:bCs w:val="0"/>
                <w:sz w:val="28"/>
                <w:szCs w:val="28"/>
                <w:lang w:val="en-US"/>
              </w:rPr>
              <w:t>final (FN)</w:t>
            </w:r>
            <w:r>
              <w:rPr>
                <w:sz w:val="28"/>
                <w:szCs w:val="28"/>
                <w:lang w:val="en-US"/>
              </w:rPr>
              <w:t xml:space="preserve"> assessments. Grades are assigned according to the following scale: 5 – “Excellent”,  4 – “Good”, 3 – “Satisfactory”, 2 – “Unsatisfactory”.</w:t>
            </w:r>
          </w:p>
          <w:p w14:paraId="0B0F70F3">
            <w:pPr>
              <w:pStyle w:val="14"/>
              <w:spacing w:before="0" w:beforeAutospacing="0" w:after="0" w:afterAutospacing="0"/>
              <w:ind w:firstLine="259"/>
              <w:jc w:val="both"/>
              <w:rPr>
                <w:b/>
                <w:bCs/>
                <w:sz w:val="28"/>
                <w:szCs w:val="28"/>
                <w:lang w:val="en-US"/>
              </w:rPr>
            </w:pPr>
            <w:r>
              <w:rPr>
                <w:rStyle w:val="9"/>
                <w:b w:val="0"/>
                <w:bCs w:val="0"/>
                <w:sz w:val="28"/>
                <w:szCs w:val="28"/>
                <w:lang w:val="en-US"/>
              </w:rPr>
              <w:t>Grading Criteria:</w:t>
            </w:r>
          </w:p>
          <w:p w14:paraId="63CA35AA">
            <w:pPr>
              <w:pStyle w:val="14"/>
              <w:spacing w:before="0" w:beforeAutospacing="0" w:after="0" w:afterAutospacing="0"/>
              <w:ind w:firstLine="255"/>
              <w:jc w:val="both"/>
              <w:rPr>
                <w:sz w:val="28"/>
                <w:szCs w:val="28"/>
                <w:lang w:val="en-US"/>
              </w:rPr>
            </w:pPr>
            <w:r>
              <w:rPr>
                <w:sz w:val="28"/>
                <w:szCs w:val="28"/>
                <w:lang w:val="en-US"/>
              </w:rPr>
              <w:t>ECTS A (5): the student understands the essence of the subject, thinks creatively, makes independent conclusions and decisions, applies the knowledge gained in practice;</w:t>
            </w:r>
          </w:p>
          <w:p w14:paraId="5F79A30E">
            <w:pPr>
              <w:pStyle w:val="14"/>
              <w:spacing w:before="0" w:beforeAutospacing="0" w:after="0" w:afterAutospacing="0"/>
              <w:ind w:firstLine="255"/>
              <w:jc w:val="both"/>
              <w:rPr>
                <w:sz w:val="28"/>
                <w:szCs w:val="28"/>
                <w:lang w:val="en-US"/>
              </w:rPr>
            </w:pPr>
            <w:r>
              <w:rPr>
                <w:sz w:val="28"/>
                <w:szCs w:val="28"/>
                <w:lang w:val="en-US"/>
              </w:rPr>
              <w:t>ECTS A (4):  the student understands the essence of the subject, conducts independent observations, applies the knowledge gained in practice;</w:t>
            </w:r>
          </w:p>
          <w:p w14:paraId="58714A4B">
            <w:pPr>
              <w:pStyle w:val="14"/>
              <w:spacing w:before="0" w:beforeAutospacing="0" w:after="0" w:afterAutospacing="0"/>
              <w:ind w:firstLine="255"/>
              <w:jc w:val="both"/>
              <w:rPr>
                <w:sz w:val="28"/>
                <w:szCs w:val="28"/>
                <w:lang w:val="en-US"/>
              </w:rPr>
            </w:pPr>
            <w:r>
              <w:rPr>
                <w:sz w:val="28"/>
                <w:szCs w:val="28"/>
                <w:lang w:val="en-US"/>
              </w:rPr>
              <w:t>ECTS A (3):  the student understands the essence of the subject, applies the knowledge gained in practice;</w:t>
            </w:r>
          </w:p>
          <w:p w14:paraId="2F95566E">
            <w:pPr>
              <w:pStyle w:val="14"/>
              <w:spacing w:before="0" w:beforeAutospacing="0" w:after="0" w:afterAutospacing="0"/>
              <w:ind w:firstLine="259"/>
              <w:jc w:val="both"/>
              <w:rPr>
                <w:sz w:val="28"/>
                <w:szCs w:val="28"/>
                <w:lang w:val="en-US"/>
              </w:rPr>
            </w:pPr>
            <w:r>
              <w:rPr>
                <w:sz w:val="28"/>
                <w:szCs w:val="28"/>
                <w:lang w:val="en-US"/>
              </w:rPr>
              <w:t>ECTS A (2): the student has not mastered the subject program, does not understand the essence of the subject, and has no idea about the subject.</w:t>
            </w:r>
          </w:p>
          <w:p w14:paraId="0F219108">
            <w:pPr>
              <w:pStyle w:val="14"/>
              <w:spacing w:before="0" w:beforeAutospacing="0" w:after="0" w:afterAutospacing="0"/>
              <w:ind w:firstLine="259"/>
              <w:jc w:val="both"/>
              <w:rPr>
                <w:sz w:val="28"/>
                <w:szCs w:val="28"/>
                <w:lang w:val="en-US"/>
              </w:rPr>
            </w:pPr>
            <w:r>
              <w:rPr>
                <w:sz w:val="28"/>
                <w:szCs w:val="28"/>
                <w:lang w:val="en-US"/>
              </w:rPr>
              <w:t>Students are regularly evaluated during practical sessions throughout the semester. Performance in these sessions, as well as the timely and complete completion of independent study tasks and participation in class activities, is taken into account for the interim assessment.</w:t>
            </w:r>
          </w:p>
          <w:p w14:paraId="15C595EF">
            <w:pPr>
              <w:pStyle w:val="14"/>
              <w:spacing w:before="0" w:beforeAutospacing="0" w:after="0" w:afterAutospacing="0"/>
              <w:ind w:firstLine="259"/>
              <w:jc w:val="both"/>
              <w:rPr>
                <w:sz w:val="28"/>
                <w:szCs w:val="28"/>
                <w:lang w:val="en-US"/>
              </w:rPr>
            </w:pPr>
            <w:r>
              <w:rPr>
                <w:sz w:val="28"/>
                <w:szCs w:val="28"/>
                <w:lang w:val="en-US"/>
              </w:rPr>
              <w:t>Grades from Topic.s and independent study assignments are averaged with the interim assessment grade and recorded officially.</w:t>
            </w:r>
          </w:p>
          <w:p w14:paraId="5815A3E0">
            <w:pPr>
              <w:pStyle w:val="14"/>
              <w:spacing w:before="0" w:beforeAutospacing="0" w:after="0" w:afterAutospacing="0"/>
              <w:ind w:firstLine="259"/>
              <w:jc w:val="both"/>
              <w:rPr>
                <w:sz w:val="28"/>
                <w:szCs w:val="28"/>
                <w:lang w:val="en-US"/>
              </w:rPr>
            </w:pPr>
            <w:r>
              <w:rPr>
                <w:sz w:val="28"/>
                <w:szCs w:val="28"/>
                <w:lang w:val="en-US"/>
              </w:rPr>
              <w:t>A student who receives an unsatisfactory grade or misses the interim assessment without valid reason may retake it only once before the final assessment.</w:t>
            </w:r>
          </w:p>
          <w:p w14:paraId="20165369">
            <w:pPr>
              <w:pStyle w:val="14"/>
              <w:spacing w:before="0" w:beforeAutospacing="0" w:after="0" w:afterAutospacing="0"/>
              <w:ind w:firstLine="259"/>
              <w:jc w:val="both"/>
              <w:rPr>
                <w:sz w:val="28"/>
                <w:szCs w:val="28"/>
                <w:lang w:val="en-US"/>
              </w:rPr>
            </w:pPr>
            <w:r>
              <w:rPr>
                <w:rStyle w:val="9"/>
                <w:b w:val="0"/>
                <w:bCs w:val="0"/>
                <w:sz w:val="28"/>
                <w:szCs w:val="28"/>
                <w:lang w:val="en-US"/>
              </w:rPr>
              <w:t xml:space="preserve">Final Assessment: </w:t>
            </w:r>
            <w:r>
              <w:rPr>
                <w:sz w:val="28"/>
                <w:szCs w:val="28"/>
                <w:lang w:val="en-US"/>
              </w:rPr>
              <w:t>Conducted in written form at the end of the semester according to the approved schedule.</w:t>
            </w:r>
          </w:p>
          <w:p w14:paraId="7A713B0F">
            <w:pPr>
              <w:pStyle w:val="14"/>
              <w:spacing w:before="0" w:beforeAutospacing="0" w:after="0" w:afterAutospacing="0"/>
              <w:ind w:firstLine="259"/>
              <w:jc w:val="both"/>
              <w:rPr>
                <w:sz w:val="28"/>
                <w:szCs w:val="28"/>
                <w:lang w:val="en-US"/>
              </w:rPr>
            </w:pPr>
            <w:r>
              <w:rPr>
                <w:sz w:val="28"/>
                <w:szCs w:val="28"/>
                <w:lang w:val="en-US"/>
              </w:rPr>
              <w:t>Written.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14:paraId="407C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shd w:val="clear" w:color="auto" w:fill="FFFFFF" w:themeFill="background1"/>
            <w:vAlign w:val="center"/>
          </w:tcPr>
          <w:p w14:paraId="3461CDE5">
            <w:pPr>
              <w:jc w:val="center"/>
              <w:rPr>
                <w:b/>
                <w:sz w:val="28"/>
                <w:szCs w:val="28"/>
                <w:lang w:val="en-US"/>
              </w:rPr>
            </w:pPr>
            <w:r>
              <w:rPr>
                <w:b/>
                <w:sz w:val="28"/>
                <w:szCs w:val="28"/>
                <w:lang w:val="en-US"/>
              </w:rPr>
              <w:t>6.</w:t>
            </w:r>
          </w:p>
        </w:tc>
        <w:tc>
          <w:tcPr>
            <w:tcW w:w="9574" w:type="dxa"/>
            <w:gridSpan w:val="5"/>
            <w:shd w:val="clear" w:color="auto" w:fill="FFFFFF" w:themeFill="background1"/>
            <w:vAlign w:val="center"/>
          </w:tcPr>
          <w:p w14:paraId="307E53A0">
            <w:pPr>
              <w:pStyle w:val="14"/>
              <w:spacing w:before="240" w:beforeAutospacing="0" w:after="0" w:afterAutospacing="0"/>
              <w:ind w:firstLine="259"/>
              <w:jc w:val="center"/>
              <w:rPr>
                <w:sz w:val="28"/>
                <w:szCs w:val="28"/>
                <w:lang w:val="en-US"/>
              </w:rPr>
            </w:pPr>
            <w:r>
              <w:rPr>
                <w:rStyle w:val="9"/>
                <w:sz w:val="28"/>
                <w:szCs w:val="28"/>
                <w:lang w:val="en-US"/>
              </w:rPr>
              <w:t>Primary literature:</w:t>
            </w:r>
          </w:p>
          <w:p w14:paraId="1CBA8664">
            <w:pPr>
              <w:pStyle w:val="33"/>
              <w:widowControl w:val="0"/>
              <w:numPr>
                <w:ilvl w:val="0"/>
                <w:numId w:val="4"/>
              </w:numPr>
              <w:tabs>
                <w:tab w:val="left" w:pos="284"/>
                <w:tab w:val="left" w:pos="490"/>
              </w:tabs>
              <w:jc w:val="both"/>
              <w:rPr>
                <w:rFonts w:ascii="Times New Roman" w:hAnsi="Times New Roman"/>
                <w:sz w:val="28"/>
                <w:szCs w:val="28"/>
                <w:lang w:val="en-US"/>
              </w:rPr>
            </w:pPr>
            <w:r>
              <w:rPr>
                <w:rFonts w:ascii="Times New Roman" w:hAnsi="Times New Roman"/>
                <w:sz w:val="28"/>
                <w:szCs w:val="28"/>
                <w:lang w:val="en-US"/>
              </w:rPr>
              <w:t xml:space="preserve"> P.R. Alimkhodzhayeva, D.M. Tuychibayeva. “A collection of problems and tasks in general and medical genetics”. Textbook. Tashkent - 2017. - 179 p.</w:t>
            </w:r>
          </w:p>
          <w:p w14:paraId="3AC27E06">
            <w:pPr>
              <w:pStyle w:val="33"/>
              <w:widowControl w:val="0"/>
              <w:numPr>
                <w:ilvl w:val="0"/>
                <w:numId w:val="4"/>
              </w:numPr>
              <w:tabs>
                <w:tab w:val="left" w:pos="284"/>
                <w:tab w:val="left" w:pos="490"/>
              </w:tabs>
              <w:jc w:val="both"/>
              <w:rPr>
                <w:rFonts w:ascii="Times New Roman" w:hAnsi="Times New Roman"/>
                <w:sz w:val="28"/>
                <w:szCs w:val="28"/>
                <w:lang w:val="en-US"/>
              </w:rPr>
            </w:pPr>
            <w:r>
              <w:rPr>
                <w:rFonts w:ascii="Times New Roman" w:hAnsi="Times New Roman"/>
                <w:sz w:val="28"/>
                <w:szCs w:val="28"/>
                <w:lang w:val="en-US"/>
              </w:rPr>
              <w:t>A.K. Rakhimova, F.I. Matkarimov, X.S. Nurmetov, O.O. Rasulov. “A collection of problems in genetics: methods for solving vowels”. Textbook. Tashkent - 2021. - 44 p.</w:t>
            </w:r>
          </w:p>
          <w:p w14:paraId="526981E6">
            <w:pPr>
              <w:pStyle w:val="33"/>
              <w:widowControl w:val="0"/>
              <w:numPr>
                <w:ilvl w:val="0"/>
                <w:numId w:val="4"/>
              </w:numPr>
              <w:tabs>
                <w:tab w:val="left" w:pos="284"/>
                <w:tab w:val="left" w:pos="490"/>
              </w:tabs>
              <w:jc w:val="both"/>
              <w:rPr>
                <w:rFonts w:ascii="Times New Roman" w:hAnsi="Times New Roman"/>
                <w:sz w:val="28"/>
                <w:szCs w:val="28"/>
                <w:lang w:val="en-US"/>
              </w:rPr>
            </w:pPr>
            <w:r>
              <w:rPr>
                <w:rFonts w:ascii="Times New Roman" w:hAnsi="Times New Roman"/>
                <w:sz w:val="28"/>
                <w:szCs w:val="28"/>
                <w:lang w:val="en-US"/>
              </w:rPr>
              <w:t>Daniel L. Hartl. “Essential genetics and genomics”. Handbook. Harvard University. 2020. 666 p.</w:t>
            </w:r>
          </w:p>
          <w:p w14:paraId="3B395185">
            <w:pPr>
              <w:pStyle w:val="33"/>
              <w:widowControl w:val="0"/>
              <w:numPr>
                <w:ilvl w:val="0"/>
                <w:numId w:val="4"/>
              </w:numPr>
              <w:tabs>
                <w:tab w:val="left" w:pos="284"/>
                <w:tab w:val="left" w:pos="490"/>
              </w:tabs>
              <w:spacing w:after="0"/>
              <w:jc w:val="both"/>
              <w:rPr>
                <w:rFonts w:ascii="Times New Roman" w:hAnsi="Times New Roman"/>
                <w:sz w:val="28"/>
                <w:szCs w:val="28"/>
                <w:lang w:val="en-US"/>
              </w:rPr>
            </w:pPr>
            <w:r>
              <w:rPr>
                <w:rFonts w:ascii="Times New Roman" w:hAnsi="Times New Roman"/>
                <w:sz w:val="28"/>
                <w:szCs w:val="28"/>
                <w:lang w:val="en-US"/>
              </w:rPr>
              <w:t>Csaba Szalai. “Medical genetics and genomics”. Guide book. Budapest – 2023. 557 p.</w:t>
            </w:r>
          </w:p>
          <w:p w14:paraId="56DA85A1">
            <w:pPr>
              <w:pStyle w:val="14"/>
              <w:spacing w:before="240" w:beforeAutospacing="0" w:after="0" w:afterAutospacing="0"/>
              <w:ind w:left="720"/>
              <w:jc w:val="center"/>
              <w:rPr>
                <w:sz w:val="28"/>
                <w:szCs w:val="28"/>
                <w:lang w:val="en-US"/>
              </w:rPr>
            </w:pPr>
            <w:bookmarkStart w:id="0" w:name="_GoBack"/>
            <w:bookmarkEnd w:id="0"/>
            <w:r>
              <w:rPr>
                <w:rStyle w:val="9"/>
                <w:sz w:val="28"/>
                <w:szCs w:val="28"/>
                <w:lang w:val="en-US"/>
              </w:rPr>
              <w:t>Additional literature:</w:t>
            </w:r>
          </w:p>
          <w:p w14:paraId="2D605E88">
            <w:pPr>
              <w:pStyle w:val="14"/>
              <w:numPr>
                <w:ilvl w:val="0"/>
                <w:numId w:val="5"/>
              </w:numPr>
              <w:spacing w:before="0" w:beforeAutospacing="0"/>
              <w:jc w:val="both"/>
              <w:rPr>
                <w:sz w:val="28"/>
                <w:szCs w:val="28"/>
                <w:lang w:val="en-US"/>
              </w:rPr>
            </w:pPr>
            <w:r>
              <w:rPr>
                <w:sz w:val="28"/>
                <w:szCs w:val="28"/>
                <w:lang w:val="en-US"/>
              </w:rPr>
              <w:t>5. P.S. Sobirov, A.K. Kakharov et al. “Genetics”. Textbook. Tashkent –2020. – 334 p.</w:t>
            </w:r>
          </w:p>
          <w:p w14:paraId="48BB027C">
            <w:pPr>
              <w:pStyle w:val="14"/>
              <w:numPr>
                <w:ilvl w:val="0"/>
                <w:numId w:val="5"/>
              </w:numPr>
              <w:spacing w:before="0" w:beforeAutospacing="0" w:after="0" w:afterAutospacing="0"/>
              <w:jc w:val="both"/>
              <w:rPr>
                <w:sz w:val="28"/>
                <w:szCs w:val="28"/>
                <w:lang w:val="en-US"/>
              </w:rPr>
            </w:pPr>
            <w:r>
              <w:rPr>
                <w:sz w:val="28"/>
                <w:szCs w:val="28"/>
                <w:lang w:val="en-US"/>
              </w:rPr>
              <w:t>6. R.G‘ulomov. “Genomics”. Educational-methodological complex. Namangan – 2023. 185 p.</w:t>
            </w:r>
          </w:p>
          <w:p w14:paraId="625504ED">
            <w:pPr>
              <w:pStyle w:val="14"/>
              <w:spacing w:before="240" w:beforeAutospacing="0" w:after="0" w:afterAutospacing="0"/>
              <w:ind w:firstLine="259"/>
              <w:jc w:val="center"/>
              <w:rPr>
                <w:sz w:val="28"/>
                <w:szCs w:val="28"/>
              </w:rPr>
            </w:pPr>
            <w:r>
              <w:rPr>
                <w:rStyle w:val="9"/>
                <w:sz w:val="28"/>
                <w:szCs w:val="28"/>
              </w:rPr>
              <w:t xml:space="preserve">Information </w:t>
            </w:r>
            <w:r>
              <w:rPr>
                <w:rStyle w:val="9"/>
                <w:sz w:val="28"/>
                <w:szCs w:val="28"/>
                <w:lang w:val="en-US"/>
              </w:rPr>
              <w:t>s</w:t>
            </w:r>
            <w:r>
              <w:rPr>
                <w:rStyle w:val="9"/>
                <w:sz w:val="28"/>
                <w:szCs w:val="28"/>
              </w:rPr>
              <w:t>ources:</w:t>
            </w:r>
          </w:p>
          <w:p w14:paraId="72AAE723">
            <w:pPr>
              <w:pStyle w:val="14"/>
              <w:numPr>
                <w:ilvl w:val="0"/>
                <w:numId w:val="6"/>
              </w:numPr>
              <w:spacing w:before="0" w:beforeAutospacing="0" w:after="0" w:afterAutospacing="0"/>
              <w:jc w:val="both"/>
              <w:rPr>
                <w:sz w:val="28"/>
                <w:szCs w:val="28"/>
              </w:rPr>
            </w:pPr>
            <w:r>
              <w:fldChar w:fldCharType="begin"/>
            </w:r>
            <w:r>
              <w:instrText xml:space="preserve"> HYPERLINK "http://www.ziyo.net" \t "_new" </w:instrText>
            </w:r>
            <w:r>
              <w:fldChar w:fldCharType="separate"/>
            </w:r>
            <w:r>
              <w:rPr>
                <w:rStyle w:val="8"/>
                <w:sz w:val="28"/>
                <w:szCs w:val="28"/>
              </w:rPr>
              <w:t>http://www.ziyo.net</w:t>
            </w:r>
            <w:r>
              <w:rPr>
                <w:rStyle w:val="8"/>
                <w:sz w:val="28"/>
                <w:szCs w:val="28"/>
              </w:rPr>
              <w:fldChar w:fldCharType="end"/>
            </w:r>
          </w:p>
          <w:p w14:paraId="27248E87">
            <w:pPr>
              <w:pStyle w:val="14"/>
              <w:numPr>
                <w:ilvl w:val="0"/>
                <w:numId w:val="6"/>
              </w:numPr>
              <w:spacing w:before="0" w:beforeAutospacing="0" w:after="0" w:afterAutospacing="0"/>
              <w:jc w:val="both"/>
              <w:rPr>
                <w:sz w:val="28"/>
                <w:szCs w:val="28"/>
              </w:rPr>
            </w:pPr>
            <w:r>
              <w:fldChar w:fldCharType="begin"/>
            </w:r>
            <w:r>
              <w:instrText xml:space="preserve"> HYPERLINK "http://www.ziyonet.uz" \t "_new" </w:instrText>
            </w:r>
            <w:r>
              <w:fldChar w:fldCharType="separate"/>
            </w:r>
            <w:r>
              <w:rPr>
                <w:rStyle w:val="8"/>
                <w:sz w:val="28"/>
                <w:szCs w:val="28"/>
              </w:rPr>
              <w:t>http://www.ziyonet.uz</w:t>
            </w:r>
            <w:r>
              <w:rPr>
                <w:rStyle w:val="8"/>
                <w:sz w:val="28"/>
                <w:szCs w:val="28"/>
              </w:rPr>
              <w:fldChar w:fldCharType="end"/>
            </w:r>
          </w:p>
        </w:tc>
      </w:tr>
      <w:tr w14:paraId="717B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shd w:val="clear" w:color="auto" w:fill="FFFFFF" w:themeFill="background1"/>
            <w:vAlign w:val="center"/>
          </w:tcPr>
          <w:p w14:paraId="00D39905">
            <w:pPr>
              <w:jc w:val="center"/>
              <w:rPr>
                <w:b/>
                <w:sz w:val="28"/>
                <w:szCs w:val="28"/>
                <w:lang w:val="en-US"/>
              </w:rPr>
            </w:pPr>
            <w:r>
              <w:rPr>
                <w:b/>
                <w:sz w:val="28"/>
                <w:szCs w:val="28"/>
                <w:lang w:val="en-US"/>
              </w:rPr>
              <w:t>7.</w:t>
            </w:r>
          </w:p>
        </w:tc>
        <w:tc>
          <w:tcPr>
            <w:tcW w:w="9574" w:type="dxa"/>
            <w:gridSpan w:val="5"/>
            <w:shd w:val="clear" w:color="auto" w:fill="FFFFFF" w:themeFill="background1"/>
            <w:vAlign w:val="center"/>
          </w:tcPr>
          <w:p w14:paraId="325C572A">
            <w:pPr>
              <w:pStyle w:val="14"/>
              <w:spacing w:before="0" w:beforeAutospacing="0" w:after="0" w:afterAutospacing="0"/>
              <w:ind w:firstLine="259"/>
              <w:jc w:val="both"/>
              <w:rPr>
                <w:sz w:val="28"/>
                <w:szCs w:val="28"/>
                <w:lang w:val="en-US"/>
              </w:rPr>
            </w:pPr>
            <w:r>
              <w:rPr>
                <w:rStyle w:val="9"/>
                <w:sz w:val="28"/>
                <w:szCs w:val="28"/>
                <w:lang w:val="en-US"/>
              </w:rPr>
              <w:t>The curriculum has been developed and approved by Namangan state university as follows:</w:t>
            </w:r>
          </w:p>
          <w:p w14:paraId="1B88A773">
            <w:pPr>
              <w:pStyle w:val="14"/>
              <w:spacing w:before="0" w:beforeAutospacing="0" w:after="0" w:afterAutospacing="0"/>
              <w:ind w:firstLine="259"/>
              <w:jc w:val="both"/>
              <w:rPr>
                <w:sz w:val="28"/>
                <w:szCs w:val="28"/>
                <w:lang w:val="en-US"/>
              </w:rPr>
            </w:pPr>
            <w:r>
              <w:rPr>
                <w:sz w:val="28"/>
                <w:szCs w:val="28"/>
                <w:lang w:val="en-US"/>
              </w:rPr>
              <w:t>-</w:t>
            </w:r>
            <w:r>
              <w:rPr>
                <w:lang w:val="en-US"/>
              </w:rPr>
              <w:t xml:space="preserve"> </w:t>
            </w:r>
            <w:r>
              <w:rPr>
                <w:sz w:val="28"/>
                <w:szCs w:val="28"/>
                <w:lang w:val="en-US"/>
              </w:rPr>
              <w:t xml:space="preserve">Discussed and recommended for approval at the meeting No. ___ of the </w:t>
            </w:r>
            <w:r>
              <w:rPr>
                <w:rStyle w:val="9"/>
                <w:b w:val="0"/>
                <w:bCs w:val="0"/>
                <w:lang w:val="en-US"/>
              </w:rPr>
              <w:t>d</w:t>
            </w:r>
            <w:r>
              <w:rPr>
                <w:rStyle w:val="9"/>
                <w:b w:val="0"/>
                <w:bCs w:val="0"/>
                <w:sz w:val="28"/>
                <w:szCs w:val="28"/>
                <w:lang w:val="en-US"/>
              </w:rPr>
              <w:t>epartment</w:t>
            </w:r>
            <w:r>
              <w:rPr>
                <w:rStyle w:val="9"/>
                <w:sz w:val="28"/>
                <w:szCs w:val="28"/>
                <w:lang w:val="en-US"/>
              </w:rPr>
              <w:t xml:space="preserve"> </w:t>
            </w:r>
            <w:r>
              <w:rPr>
                <w:rStyle w:val="9"/>
                <w:b w:val="0"/>
                <w:bCs w:val="0"/>
                <w:sz w:val="28"/>
                <w:szCs w:val="28"/>
                <w:lang w:val="en-US"/>
              </w:rPr>
              <w:t>of Biology</w:t>
            </w:r>
            <w:r>
              <w:rPr>
                <w:sz w:val="28"/>
                <w:szCs w:val="28"/>
                <w:lang w:val="en-US"/>
              </w:rPr>
              <w:t xml:space="preserve"> on ___, 2025.</w:t>
            </w:r>
          </w:p>
          <w:p w14:paraId="648C9B4D">
            <w:pPr>
              <w:pStyle w:val="14"/>
              <w:spacing w:before="0" w:beforeAutospacing="0" w:after="0" w:afterAutospacing="0"/>
              <w:ind w:firstLine="259"/>
              <w:jc w:val="both"/>
              <w:rPr>
                <w:sz w:val="28"/>
                <w:szCs w:val="28"/>
                <w:lang w:val="en-US"/>
              </w:rPr>
            </w:pPr>
            <w:r>
              <w:rPr>
                <w:sz w:val="28"/>
                <w:szCs w:val="28"/>
                <w:lang w:val="en-US"/>
              </w:rPr>
              <w:t>-</w:t>
            </w:r>
            <w:r>
              <w:rPr>
                <w:lang w:val="en-US"/>
              </w:rPr>
              <w:t xml:space="preserve"> </w:t>
            </w:r>
            <w:r>
              <w:rPr>
                <w:sz w:val="28"/>
                <w:szCs w:val="28"/>
                <w:lang w:val="en-US"/>
              </w:rPr>
              <w:t xml:space="preserve">Approved and recommended for confirmation at the meeting No. ___ of the </w:t>
            </w:r>
            <w:r>
              <w:rPr>
                <w:rStyle w:val="9"/>
                <w:lang w:val="en-US"/>
              </w:rPr>
              <w:t>c</w:t>
            </w:r>
            <w:r>
              <w:rPr>
                <w:rStyle w:val="9"/>
                <w:b w:val="0"/>
                <w:bCs w:val="0"/>
                <w:sz w:val="28"/>
                <w:szCs w:val="28"/>
                <w:lang w:val="en-US"/>
              </w:rPr>
              <w:t>ouncil of the faculty of Biotechnology</w:t>
            </w:r>
            <w:r>
              <w:rPr>
                <w:sz w:val="28"/>
                <w:szCs w:val="28"/>
                <w:lang w:val="en-US"/>
              </w:rPr>
              <w:t xml:space="preserve"> on ___, 2025.</w:t>
            </w:r>
          </w:p>
          <w:p w14:paraId="50A1FD34">
            <w:pPr>
              <w:pStyle w:val="14"/>
              <w:spacing w:before="0" w:beforeAutospacing="0" w:after="0" w:afterAutospacing="0"/>
              <w:ind w:firstLine="259"/>
              <w:jc w:val="both"/>
              <w:rPr>
                <w:sz w:val="28"/>
                <w:szCs w:val="28"/>
                <w:lang w:val="en-US"/>
              </w:rPr>
            </w:pPr>
            <w:r>
              <w:rPr>
                <w:sz w:val="28"/>
                <w:szCs w:val="28"/>
                <w:lang w:val="en-US"/>
              </w:rPr>
              <w:t>Discussed and approved at the Meeting No. ___ of the C</w:t>
            </w:r>
            <w:r>
              <w:rPr>
                <w:rStyle w:val="9"/>
                <w:b w:val="0"/>
                <w:bCs w:val="0"/>
                <w:sz w:val="28"/>
                <w:szCs w:val="28"/>
                <w:lang w:val="en-US"/>
              </w:rPr>
              <w:t>ouncil of NamSU</w:t>
            </w:r>
            <w:r>
              <w:rPr>
                <w:sz w:val="28"/>
                <w:szCs w:val="28"/>
                <w:lang w:val="en-US"/>
              </w:rPr>
              <w:t xml:space="preserve"> on ___, 2025.</w:t>
            </w:r>
          </w:p>
        </w:tc>
      </w:tr>
      <w:tr w14:paraId="486B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shd w:val="clear" w:color="auto" w:fill="FFFFFF" w:themeFill="background1"/>
          </w:tcPr>
          <w:p w14:paraId="2B19AD73">
            <w:pPr>
              <w:jc w:val="center"/>
              <w:rPr>
                <w:b/>
                <w:sz w:val="28"/>
                <w:szCs w:val="28"/>
                <w:lang w:val="en-US"/>
              </w:rPr>
            </w:pPr>
            <w:r>
              <w:rPr>
                <w:b/>
                <w:bCs/>
                <w:sz w:val="28"/>
                <w:szCs w:val="28"/>
                <w:lang w:val="uz-Cyrl-UZ"/>
              </w:rPr>
              <w:t>8</w:t>
            </w:r>
            <w:r>
              <w:rPr>
                <w:b/>
                <w:bCs/>
                <w:sz w:val="28"/>
                <w:szCs w:val="28"/>
                <w:lang w:val="en-US"/>
              </w:rPr>
              <w:t>.</w:t>
            </w:r>
          </w:p>
        </w:tc>
        <w:tc>
          <w:tcPr>
            <w:tcW w:w="9574" w:type="dxa"/>
            <w:gridSpan w:val="5"/>
            <w:shd w:val="clear" w:color="auto" w:fill="FFFFFF" w:themeFill="background1"/>
          </w:tcPr>
          <w:p w14:paraId="4DBF062A">
            <w:pPr>
              <w:jc w:val="both"/>
              <w:rPr>
                <w:sz w:val="28"/>
                <w:szCs w:val="28"/>
                <w:lang w:val="en-US"/>
              </w:rPr>
            </w:pPr>
            <w:r>
              <w:rPr>
                <w:b/>
                <w:bCs/>
                <w:sz w:val="28"/>
                <w:szCs w:val="28"/>
                <w:lang w:val="en-US"/>
              </w:rPr>
              <w:t>Course/Module responsible person:</w:t>
            </w:r>
          </w:p>
          <w:p w14:paraId="4EC2E9C8">
            <w:pPr>
              <w:jc w:val="both"/>
              <w:rPr>
                <w:sz w:val="28"/>
                <w:szCs w:val="28"/>
                <w:lang w:val="en-US"/>
              </w:rPr>
            </w:pPr>
            <w:r>
              <w:rPr>
                <w:sz w:val="28"/>
                <w:szCs w:val="28"/>
                <w:lang w:val="en-US"/>
              </w:rPr>
              <w:t>Komilov Doniyor Jurayevich, Doctor of philosophy (PhD) in biological science, Associate Professor</w:t>
            </w:r>
          </w:p>
          <w:p w14:paraId="131FDCF0">
            <w:pPr>
              <w:jc w:val="both"/>
              <w:rPr>
                <w:sz w:val="28"/>
                <w:szCs w:val="28"/>
                <w:lang w:val="en-US"/>
              </w:rPr>
            </w:pPr>
          </w:p>
        </w:tc>
      </w:tr>
      <w:tr w14:paraId="64C6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23" w:type="dxa"/>
            <w:shd w:val="clear" w:color="auto" w:fill="FFFFFF" w:themeFill="background1"/>
          </w:tcPr>
          <w:p w14:paraId="6CE1249B">
            <w:pPr>
              <w:jc w:val="center"/>
              <w:rPr>
                <w:b/>
                <w:sz w:val="28"/>
                <w:szCs w:val="28"/>
                <w:lang w:val="en-US"/>
              </w:rPr>
            </w:pPr>
            <w:r>
              <w:rPr>
                <w:b/>
                <w:bCs/>
                <w:sz w:val="28"/>
                <w:szCs w:val="28"/>
                <w:lang w:val="uz-Cyrl-UZ"/>
              </w:rPr>
              <w:t>9</w:t>
            </w:r>
            <w:r>
              <w:rPr>
                <w:b/>
                <w:bCs/>
                <w:sz w:val="28"/>
                <w:szCs w:val="28"/>
                <w:lang w:val="en-US"/>
              </w:rPr>
              <w:t>.</w:t>
            </w:r>
          </w:p>
        </w:tc>
        <w:tc>
          <w:tcPr>
            <w:tcW w:w="9574" w:type="dxa"/>
            <w:gridSpan w:val="5"/>
            <w:shd w:val="clear" w:color="auto" w:fill="FFFFFF" w:themeFill="background1"/>
          </w:tcPr>
          <w:p w14:paraId="7AC4ABBA">
            <w:pPr>
              <w:jc w:val="both"/>
              <w:rPr>
                <w:b/>
                <w:bCs/>
                <w:sz w:val="28"/>
                <w:szCs w:val="28"/>
                <w:lang w:val="en-US"/>
              </w:rPr>
            </w:pPr>
            <w:r>
              <w:rPr>
                <w:b/>
                <w:bCs/>
                <w:sz w:val="28"/>
                <w:szCs w:val="28"/>
                <w:lang w:val="en-US"/>
              </w:rPr>
              <w:t>Reviewer:</w:t>
            </w:r>
          </w:p>
          <w:p w14:paraId="69D67584">
            <w:pPr>
              <w:pStyle w:val="32"/>
              <w:shd w:val="clear" w:color="auto" w:fill="FFFFFF"/>
              <w:spacing w:before="0" w:beforeAutospacing="0" w:after="0" w:afterAutospacing="0"/>
              <w:rPr>
                <w:rStyle w:val="9"/>
                <w:b w:val="0"/>
                <w:bCs w:val="0"/>
                <w:color w:val="0F1115"/>
                <w:sz w:val="28"/>
                <w:szCs w:val="28"/>
                <w:lang w:val="en-US"/>
              </w:rPr>
            </w:pPr>
            <w:r>
              <w:rPr>
                <w:rStyle w:val="9"/>
                <w:b w:val="0"/>
                <w:bCs w:val="0"/>
                <w:color w:val="0F1115"/>
                <w:sz w:val="28"/>
                <w:szCs w:val="28"/>
                <w:lang w:val="en-US"/>
              </w:rPr>
              <w:t>A. Sheraliyev – Senior Lecturer, Department of Biology, Namangan State University, Candidate of Biological Sciences.</w:t>
            </w:r>
          </w:p>
          <w:p w14:paraId="1446375C">
            <w:pPr>
              <w:widowControl w:val="0"/>
              <w:tabs>
                <w:tab w:val="left" w:pos="0"/>
              </w:tabs>
              <w:autoSpaceDE w:val="0"/>
              <w:autoSpaceDN w:val="0"/>
              <w:adjustRightInd w:val="0"/>
              <w:jc w:val="both"/>
              <w:rPr>
                <w:bCs/>
                <w:sz w:val="28"/>
                <w:szCs w:val="28"/>
                <w:lang w:val="en-US"/>
              </w:rPr>
            </w:pPr>
            <w:r>
              <w:rPr>
                <w:rStyle w:val="9"/>
                <w:b w:val="0"/>
                <w:bCs w:val="0"/>
                <w:color w:val="0F1115"/>
                <w:sz w:val="28"/>
                <w:szCs w:val="28"/>
                <w:lang w:val="en-US"/>
              </w:rPr>
              <w:t>M.X. Egamberdiyev – Associate Professor, Department of Biology, Namangan State University, Doctor of Philosophy (PhD) in Biological Sciences.</w:t>
            </w:r>
          </w:p>
        </w:tc>
      </w:tr>
    </w:tbl>
    <w:p w14:paraId="3463ECA3">
      <w:pPr>
        <w:spacing w:line="360" w:lineRule="auto"/>
        <w:rPr>
          <w:rStyle w:val="9"/>
          <w:b w:val="0"/>
          <w:bCs w:val="0"/>
          <w:sz w:val="28"/>
          <w:szCs w:val="28"/>
          <w:lang w:val="en-US"/>
        </w:rPr>
      </w:pPr>
    </w:p>
    <w:p w14:paraId="0E75C35B">
      <w:pPr>
        <w:spacing w:after="160" w:line="259" w:lineRule="auto"/>
        <w:rPr>
          <w:rStyle w:val="9"/>
          <w:b w:val="0"/>
          <w:bCs w:val="0"/>
          <w:sz w:val="28"/>
          <w:szCs w:val="28"/>
          <w:lang w:val="en-US"/>
        </w:rPr>
      </w:pPr>
      <w:r>
        <w:rPr>
          <w:rStyle w:val="9"/>
          <w:b w:val="0"/>
          <w:bCs w:val="0"/>
          <w:sz w:val="28"/>
          <w:szCs w:val="28"/>
          <w:lang w:val="en-US"/>
        </w:rPr>
        <w:br w:type="page"/>
      </w:r>
    </w:p>
    <w:p w14:paraId="3D141B3B">
      <w:pPr>
        <w:spacing w:line="360" w:lineRule="auto"/>
        <w:rPr>
          <w:rStyle w:val="9"/>
          <w:b w:val="0"/>
          <w:bCs w:val="0"/>
          <w:sz w:val="28"/>
          <w:szCs w:val="28"/>
          <w:lang w:val="en-US"/>
        </w:rPr>
      </w:pPr>
      <w:r>
        <w:rPr>
          <w:rStyle w:val="9"/>
          <w:b w:val="0"/>
          <w:bCs w:val="0"/>
          <w:sz w:val="28"/>
          <w:szCs w:val="28"/>
          <w:lang w:val="en-US"/>
        </w:rPr>
        <w:t xml:space="preserve">Head of educational and methodological </w:t>
      </w:r>
    </w:p>
    <w:p w14:paraId="6D6F75F6">
      <w:pPr>
        <w:spacing w:line="360" w:lineRule="auto"/>
        <w:rPr>
          <w:b/>
          <w:bCs/>
          <w:sz w:val="28"/>
          <w:szCs w:val="28"/>
          <w:lang w:val="en-US"/>
        </w:rPr>
      </w:pPr>
      <w:r>
        <w:rPr>
          <w:rStyle w:val="9"/>
          <w:b w:val="0"/>
          <w:bCs w:val="0"/>
          <w:sz w:val="28"/>
          <w:szCs w:val="28"/>
          <w:lang w:val="en-US"/>
        </w:rPr>
        <w:t>department:</w:t>
      </w:r>
      <w:r>
        <w:rPr>
          <w:b/>
          <w:bCs/>
          <w:sz w:val="28"/>
          <w:szCs w:val="28"/>
          <w:lang w:val="en-US"/>
        </w:rPr>
        <w:t xml:space="preserve"> </w:t>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sz w:val="28"/>
          <w:szCs w:val="28"/>
          <w:lang w:val="en-US"/>
        </w:rPr>
        <w:t>X. Ibraximov</w:t>
      </w:r>
      <w:r>
        <w:rPr>
          <w:b/>
          <w:bCs/>
          <w:sz w:val="28"/>
          <w:szCs w:val="28"/>
          <w:lang w:val="en-US"/>
        </w:rPr>
        <w:br w:type="textWrapping"/>
      </w:r>
      <w:r>
        <w:rPr>
          <w:sz w:val="28"/>
          <w:szCs w:val="28"/>
          <w:lang w:val="en-US"/>
        </w:rPr>
        <w:t xml:space="preserve">Dean of the Faculty of Biotechnology: </w:t>
      </w:r>
      <w:r>
        <w:rPr>
          <w:sz w:val="28"/>
          <w:szCs w:val="28"/>
          <w:lang w:val="en-US"/>
        </w:rPr>
        <w:tab/>
      </w:r>
      <w:r>
        <w:rPr>
          <w:sz w:val="28"/>
          <w:szCs w:val="28"/>
          <w:lang w:val="en-US"/>
        </w:rPr>
        <w:tab/>
      </w:r>
      <w:r>
        <w:rPr>
          <w:sz w:val="28"/>
          <w:szCs w:val="28"/>
          <w:lang w:val="en-US"/>
        </w:rPr>
        <w:tab/>
      </w:r>
      <w:r>
        <w:rPr>
          <w:sz w:val="28"/>
          <w:szCs w:val="28"/>
          <w:lang w:val="en-US"/>
        </w:rPr>
        <w:t>A</w:t>
      </w:r>
      <w:r>
        <w:rPr>
          <w:lang w:val="en-US"/>
        </w:rPr>
        <w:t xml:space="preserve">. </w:t>
      </w:r>
      <w:r>
        <w:rPr>
          <w:sz w:val="28"/>
          <w:szCs w:val="28"/>
          <w:lang w:val="en-US"/>
        </w:rPr>
        <w:t>Batoshov</w:t>
      </w:r>
      <w:r>
        <w:rPr>
          <w:b/>
          <w:bCs/>
          <w:sz w:val="28"/>
          <w:szCs w:val="28"/>
          <w:lang w:val="en-US"/>
        </w:rPr>
        <w:br w:type="textWrapping"/>
      </w:r>
      <w:r>
        <w:rPr>
          <w:sz w:val="28"/>
          <w:szCs w:val="28"/>
          <w:lang w:val="en-US"/>
        </w:rPr>
        <w:t>Head of the Department of Biology:</w:t>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sz w:val="28"/>
          <w:szCs w:val="28"/>
          <w:lang w:val="en-US"/>
        </w:rPr>
        <w:t xml:space="preserve">D. Komilov </w:t>
      </w:r>
      <w:r>
        <w:rPr>
          <w:b/>
          <w:bCs/>
          <w:sz w:val="28"/>
          <w:szCs w:val="28"/>
          <w:lang w:val="en-US"/>
        </w:rPr>
        <w:br w:type="textWrapping"/>
      </w:r>
      <w:r>
        <w:rPr>
          <w:rStyle w:val="9"/>
          <w:b w:val="0"/>
          <w:bCs w:val="0"/>
          <w:sz w:val="28"/>
          <w:szCs w:val="28"/>
          <w:lang w:val="en-US"/>
        </w:rPr>
        <w:t>Author/Compiler:</w:t>
      </w:r>
      <w:r>
        <w:rPr>
          <w:b/>
          <w:bCs/>
          <w:sz w:val="28"/>
          <w:szCs w:val="28"/>
          <w:lang w:val="en-US"/>
        </w:rPr>
        <w:t xml:space="preserve"> </w:t>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sz w:val="28"/>
          <w:szCs w:val="28"/>
          <w:lang w:val="en-US"/>
        </w:rPr>
        <w:t>D. Komilov</w:t>
      </w:r>
    </w:p>
    <w:sectPr>
      <w:pgSz w:w="11906" w:h="16838"/>
      <w:pgMar w:top="1134" w:right="851" w:bottom="851" w:left="1701" w:header="709" w:footer="709" w:gutter="0"/>
      <w:pgBorders w:display="firstPage" w:offsetFrom="page">
        <w:top w:val="thinThickThinMediumGap" w:color="auto" w:sz="24" w:space="24"/>
        <w:left w:val="thinThickThinMediumGap" w:color="auto" w:sz="24" w:space="24"/>
        <w:bottom w:val="thinThickThinMediumGap" w:color="auto" w:sz="24" w:space="24"/>
        <w:right w:val="thinThickThinMedium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UzKudr">
    <w:altName w:val="Times New Roman"/>
    <w:panose1 w:val="00000000000000000000"/>
    <w:charset w:val="00"/>
    <w:family w:val="auto"/>
    <w:pitch w:val="default"/>
    <w:sig w:usb0="00000000" w:usb1="00000000" w:usb2="00000000" w:usb3="00000000" w:csb0="00000097" w:csb1="00000000"/>
  </w:font>
  <w:font w:name="Calibri Light">
    <w:panose1 w:val="020F0302020204030204"/>
    <w:charset w:val="CC"/>
    <w:family w:val="swiss"/>
    <w:pitch w:val="default"/>
    <w:sig w:usb0="E4002EFF" w:usb1="C200247B" w:usb2="00000009" w:usb3="00000000" w:csb0="200001FF" w:csb1="00000000"/>
  </w:font>
  <w:font w:name="等线 Light">
    <w:altName w:val="ESRI AMFM Electric"/>
    <w:panose1 w:val="00000000000000000000"/>
    <w:charset w:val="00"/>
    <w:family w:val="auto"/>
    <w:pitch w:val="default"/>
    <w:sig w:usb0="00000000" w:usb1="00000000" w:usb2="00000000" w:usb3="00000000" w:csb0="00000000" w:csb1="00000000"/>
  </w:font>
  <w:font w:name="BalticaUzbek">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TimesNewRomanPS-BoldMT">
    <w:altName w:val="Times New Roman"/>
    <w:panose1 w:val="00000000000000000000"/>
    <w:charset w:val="00"/>
    <w:family w:val="roman"/>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ESRI AMFM Electric">
    <w:panose1 w:val="020004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70B18"/>
    <w:multiLevelType w:val="multilevel"/>
    <w:tmpl w:val="14070B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EA51AE2"/>
    <w:multiLevelType w:val="multilevel"/>
    <w:tmpl w:val="2EA51AE2"/>
    <w:lvl w:ilvl="0" w:tentative="0">
      <w:start w:val="1"/>
      <w:numFmt w:val="decimal"/>
      <w:lvlText w:val="%1."/>
      <w:lvlJc w:val="left"/>
      <w:pPr>
        <w:tabs>
          <w:tab w:val="left" w:pos="720"/>
        </w:tabs>
        <w:ind w:left="720" w:hanging="360"/>
      </w:pPr>
      <w:rPr>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2A85BE8"/>
    <w:multiLevelType w:val="multilevel"/>
    <w:tmpl w:val="42A85BE8"/>
    <w:lvl w:ilvl="0" w:tentative="0">
      <w:start w:val="1"/>
      <w:numFmt w:val="decimal"/>
      <w:lvlText w:val="%1."/>
      <w:lvlJc w:val="left"/>
      <w:pPr>
        <w:tabs>
          <w:tab w:val="left" w:pos="720"/>
        </w:tabs>
        <w:ind w:left="720" w:hanging="360"/>
      </w:pPr>
      <w:rPr>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2261C43"/>
    <w:multiLevelType w:val="multilevel"/>
    <w:tmpl w:val="62261C4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DBA407B"/>
    <w:multiLevelType w:val="multilevel"/>
    <w:tmpl w:val="6DBA407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AD63EEF"/>
    <w:multiLevelType w:val="multilevel"/>
    <w:tmpl w:val="7AD63EEF"/>
    <w:lvl w:ilvl="0" w:tentative="0">
      <w:start w:val="1"/>
      <w:numFmt w:val="decimal"/>
      <w:lvlText w:val="%1."/>
      <w:lvlJc w:val="left"/>
      <w:pPr>
        <w:tabs>
          <w:tab w:val="left" w:pos="720"/>
        </w:tabs>
        <w:ind w:left="720" w:hanging="360"/>
      </w:pPr>
      <w:rPr>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421E"/>
    <w:rsid w:val="000C7FB3"/>
    <w:rsid w:val="000D36F6"/>
    <w:rsid w:val="000E128A"/>
    <w:rsid w:val="000E2D1C"/>
    <w:rsid w:val="000F377B"/>
    <w:rsid w:val="00142D1A"/>
    <w:rsid w:val="00161D9F"/>
    <w:rsid w:val="00165F31"/>
    <w:rsid w:val="00191C84"/>
    <w:rsid w:val="00194F9D"/>
    <w:rsid w:val="00196767"/>
    <w:rsid w:val="001C093A"/>
    <w:rsid w:val="002214D1"/>
    <w:rsid w:val="00257220"/>
    <w:rsid w:val="00267508"/>
    <w:rsid w:val="002736D8"/>
    <w:rsid w:val="002A1B44"/>
    <w:rsid w:val="002A2CC4"/>
    <w:rsid w:val="002E1912"/>
    <w:rsid w:val="002F6E9D"/>
    <w:rsid w:val="0030344B"/>
    <w:rsid w:val="00313C56"/>
    <w:rsid w:val="00362DC2"/>
    <w:rsid w:val="0037488D"/>
    <w:rsid w:val="00383644"/>
    <w:rsid w:val="003B1981"/>
    <w:rsid w:val="003B3ABE"/>
    <w:rsid w:val="003B6DDC"/>
    <w:rsid w:val="003C79EC"/>
    <w:rsid w:val="003D7A39"/>
    <w:rsid w:val="00447EB8"/>
    <w:rsid w:val="00452ACC"/>
    <w:rsid w:val="00466CEF"/>
    <w:rsid w:val="004715C9"/>
    <w:rsid w:val="004909E0"/>
    <w:rsid w:val="004933A6"/>
    <w:rsid w:val="004A00A1"/>
    <w:rsid w:val="004D2C9D"/>
    <w:rsid w:val="005040AE"/>
    <w:rsid w:val="00506D07"/>
    <w:rsid w:val="00520010"/>
    <w:rsid w:val="00554FC1"/>
    <w:rsid w:val="0057123B"/>
    <w:rsid w:val="005717B3"/>
    <w:rsid w:val="005722F1"/>
    <w:rsid w:val="00586C7B"/>
    <w:rsid w:val="00597BBB"/>
    <w:rsid w:val="005A25DB"/>
    <w:rsid w:val="005C0E1B"/>
    <w:rsid w:val="005C5777"/>
    <w:rsid w:val="005D3F06"/>
    <w:rsid w:val="005E3726"/>
    <w:rsid w:val="00602936"/>
    <w:rsid w:val="00603DDC"/>
    <w:rsid w:val="00613F0D"/>
    <w:rsid w:val="0066039A"/>
    <w:rsid w:val="00667B98"/>
    <w:rsid w:val="006A1C55"/>
    <w:rsid w:val="006A6433"/>
    <w:rsid w:val="006F4D17"/>
    <w:rsid w:val="006F74A4"/>
    <w:rsid w:val="007079DB"/>
    <w:rsid w:val="00713BD3"/>
    <w:rsid w:val="00727259"/>
    <w:rsid w:val="00740D98"/>
    <w:rsid w:val="00741179"/>
    <w:rsid w:val="007B0E99"/>
    <w:rsid w:val="007E6988"/>
    <w:rsid w:val="00816F4F"/>
    <w:rsid w:val="00873B05"/>
    <w:rsid w:val="008A1030"/>
    <w:rsid w:val="008A7E16"/>
    <w:rsid w:val="008B0B98"/>
    <w:rsid w:val="008B6B98"/>
    <w:rsid w:val="008C7539"/>
    <w:rsid w:val="008E3203"/>
    <w:rsid w:val="008F4B6B"/>
    <w:rsid w:val="0090520C"/>
    <w:rsid w:val="00906888"/>
    <w:rsid w:val="00976AE2"/>
    <w:rsid w:val="009C0ABE"/>
    <w:rsid w:val="009D17B1"/>
    <w:rsid w:val="00A156DA"/>
    <w:rsid w:val="00A16F56"/>
    <w:rsid w:val="00A247F0"/>
    <w:rsid w:val="00A57934"/>
    <w:rsid w:val="00A842E6"/>
    <w:rsid w:val="00AA15ED"/>
    <w:rsid w:val="00AB36BB"/>
    <w:rsid w:val="00AD0CF5"/>
    <w:rsid w:val="00AD2DBB"/>
    <w:rsid w:val="00AE32AA"/>
    <w:rsid w:val="00AF0242"/>
    <w:rsid w:val="00AF0D4E"/>
    <w:rsid w:val="00AF3624"/>
    <w:rsid w:val="00AF3993"/>
    <w:rsid w:val="00B21CA1"/>
    <w:rsid w:val="00B24B70"/>
    <w:rsid w:val="00B42943"/>
    <w:rsid w:val="00B63679"/>
    <w:rsid w:val="00B653C2"/>
    <w:rsid w:val="00B7308C"/>
    <w:rsid w:val="00B905DD"/>
    <w:rsid w:val="00BA0A52"/>
    <w:rsid w:val="00BF1D86"/>
    <w:rsid w:val="00BF30FD"/>
    <w:rsid w:val="00C10AD6"/>
    <w:rsid w:val="00C1400D"/>
    <w:rsid w:val="00C26C11"/>
    <w:rsid w:val="00C84620"/>
    <w:rsid w:val="00CA6B33"/>
    <w:rsid w:val="00CE3A0B"/>
    <w:rsid w:val="00D15CDB"/>
    <w:rsid w:val="00D223D3"/>
    <w:rsid w:val="00D228A7"/>
    <w:rsid w:val="00D503C9"/>
    <w:rsid w:val="00D52513"/>
    <w:rsid w:val="00D70744"/>
    <w:rsid w:val="00DB2D14"/>
    <w:rsid w:val="00DD5F08"/>
    <w:rsid w:val="00DD6BCB"/>
    <w:rsid w:val="00E14EFA"/>
    <w:rsid w:val="00E27B7C"/>
    <w:rsid w:val="00E45AD2"/>
    <w:rsid w:val="00E672A2"/>
    <w:rsid w:val="00E74C9A"/>
    <w:rsid w:val="00E8227C"/>
    <w:rsid w:val="00ED45ED"/>
    <w:rsid w:val="00F06C84"/>
    <w:rsid w:val="00F10765"/>
    <w:rsid w:val="00F43B05"/>
    <w:rsid w:val="00F43E7C"/>
    <w:rsid w:val="00F66668"/>
    <w:rsid w:val="00F912D1"/>
    <w:rsid w:val="00FB7CDA"/>
    <w:rsid w:val="00FD33B3"/>
    <w:rsid w:val="00FE7271"/>
    <w:rsid w:val="24B775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8"/>
    <w:qFormat/>
    <w:uiPriority w:val="0"/>
    <w:pPr>
      <w:keepNext/>
      <w:spacing w:before="240" w:after="60"/>
      <w:outlineLvl w:val="0"/>
    </w:pPr>
    <w:rPr>
      <w:rFonts w:ascii="Arial" w:hAnsi="Arial"/>
      <w:b/>
      <w:bCs/>
      <w:kern w:val="32"/>
      <w:sz w:val="32"/>
      <w:szCs w:val="32"/>
      <w:lang w:val="zh-CN"/>
    </w:rPr>
  </w:style>
  <w:style w:type="paragraph" w:styleId="3">
    <w:name w:val="heading 2"/>
    <w:basedOn w:val="1"/>
    <w:next w:val="1"/>
    <w:link w:val="19"/>
    <w:qFormat/>
    <w:uiPriority w:val="99"/>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4">
    <w:name w:val="heading 3"/>
    <w:basedOn w:val="1"/>
    <w:next w:val="1"/>
    <w:link w:val="21"/>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Plain Text"/>
    <w:basedOn w:val="1"/>
    <w:link w:val="29"/>
    <w:qFormat/>
    <w:uiPriority w:val="0"/>
    <w:rPr>
      <w:rFonts w:ascii="Courier New" w:hAnsi="Courier New"/>
      <w:sz w:val="20"/>
      <w:szCs w:val="20"/>
      <w:lang w:val="zh-CN"/>
    </w:rPr>
  </w:style>
  <w:style w:type="paragraph" w:styleId="11">
    <w:name w:val="header"/>
    <w:basedOn w:val="1"/>
    <w:link w:val="26"/>
    <w:unhideWhenUsed/>
    <w:uiPriority w:val="99"/>
    <w:pPr>
      <w:tabs>
        <w:tab w:val="center" w:pos="4677"/>
        <w:tab w:val="right" w:pos="9355"/>
      </w:tabs>
    </w:pPr>
  </w:style>
  <w:style w:type="paragraph" w:styleId="12">
    <w:name w:val="Body Text"/>
    <w:basedOn w:val="1"/>
    <w:link w:val="16"/>
    <w:uiPriority w:val="99"/>
    <w:pPr>
      <w:jc w:val="center"/>
    </w:pPr>
    <w:rPr>
      <w:rFonts w:ascii="BalticaUzbek" w:hAnsi="BalticaUzbek"/>
      <w:b/>
      <w:kern w:val="28"/>
      <w:sz w:val="28"/>
    </w:rPr>
  </w:style>
  <w:style w:type="paragraph" w:styleId="13">
    <w:name w:val="footer"/>
    <w:basedOn w:val="1"/>
    <w:link w:val="27"/>
    <w:unhideWhenUsed/>
    <w:qFormat/>
    <w:uiPriority w:val="99"/>
    <w:pPr>
      <w:tabs>
        <w:tab w:val="center" w:pos="4677"/>
        <w:tab w:val="right" w:pos="9355"/>
      </w:tabs>
    </w:pPr>
  </w:style>
  <w:style w:type="paragraph" w:styleId="14">
    <w:name w:val="Normal (Web)"/>
    <w:basedOn w:val="1"/>
    <w:unhideWhenUsed/>
    <w:qFormat/>
    <w:uiPriority w:val="99"/>
    <w:pPr>
      <w:spacing w:before="100" w:beforeAutospacing="1" w:after="100" w:afterAutospacing="1"/>
    </w:pPr>
  </w:style>
  <w:style w:type="paragraph" w:customStyle="1" w:styleId="15">
    <w:name w:val="Table Paragraph"/>
    <w:basedOn w:val="1"/>
    <w:qFormat/>
    <w:uiPriority w:val="1"/>
    <w:pPr>
      <w:widowControl w:val="0"/>
      <w:autoSpaceDE w:val="0"/>
      <w:autoSpaceDN w:val="0"/>
      <w:ind w:left="107"/>
    </w:pPr>
    <w:rPr>
      <w:rFonts w:ascii="Arial" w:hAnsi="Arial" w:eastAsia="Arial" w:cs="Arial"/>
      <w:sz w:val="22"/>
      <w:szCs w:val="22"/>
      <w:lang w:val="en-US" w:eastAsia="en-US"/>
    </w:rPr>
  </w:style>
  <w:style w:type="character" w:customStyle="1" w:styleId="16">
    <w:name w:val="Основной текст Знак"/>
    <w:basedOn w:val="5"/>
    <w:link w:val="12"/>
    <w:uiPriority w:val="99"/>
    <w:rPr>
      <w:rFonts w:ascii="BalticaUzbek" w:hAnsi="BalticaUzbek" w:eastAsia="Times New Roman" w:cs="Times New Roman"/>
      <w:b/>
      <w:kern w:val="28"/>
      <w:sz w:val="28"/>
      <w:szCs w:val="24"/>
      <w:lang w:eastAsia="ru-RU"/>
    </w:rPr>
  </w:style>
  <w:style w:type="character" w:customStyle="1" w:styleId="17">
    <w:name w:val="word"/>
    <w:basedOn w:val="5"/>
    <w:uiPriority w:val="0"/>
  </w:style>
  <w:style w:type="character" w:customStyle="1" w:styleId="18">
    <w:name w:val="Font Style40"/>
    <w:qFormat/>
    <w:uiPriority w:val="99"/>
    <w:rPr>
      <w:rFonts w:ascii="Times New Roman" w:hAnsi="Times New Roman" w:cs="Times New Roman"/>
      <w:sz w:val="16"/>
      <w:szCs w:val="16"/>
    </w:rPr>
  </w:style>
  <w:style w:type="character" w:customStyle="1" w:styleId="19">
    <w:name w:val="Заголовок 2 Знак"/>
    <w:basedOn w:val="5"/>
    <w:link w:val="3"/>
    <w:uiPriority w:val="99"/>
    <w:rPr>
      <w:rFonts w:ascii="UzKudr" w:hAnsi="UzKudr" w:eastAsia="Times New Roman"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20">
    <w:name w:val="List Paragraph"/>
    <w:basedOn w:val="1"/>
    <w:link w:val="24"/>
    <w:qFormat/>
    <w:uiPriority w:val="34"/>
    <w:pPr>
      <w:ind w:left="720"/>
      <w:contextualSpacing/>
    </w:pPr>
  </w:style>
  <w:style w:type="character" w:customStyle="1" w:styleId="21">
    <w:name w:val="Заголовок 3 Знак"/>
    <w:basedOn w:val="5"/>
    <w:link w:val="4"/>
    <w:semiHidden/>
    <w:qFormat/>
    <w:uiPriority w:val="9"/>
    <w:rPr>
      <w:rFonts w:asciiTheme="majorHAnsi" w:hAnsiTheme="majorHAnsi" w:eastAsiaTheme="majorEastAsia" w:cstheme="majorBidi"/>
      <w:color w:val="203864" w:themeColor="accent1" w:themeShade="80"/>
      <w:sz w:val="24"/>
      <w:szCs w:val="24"/>
      <w:lang w:eastAsia="ru-RU"/>
    </w:rPr>
  </w:style>
  <w:style w:type="paragraph" w:customStyle="1" w:styleId="22">
    <w:name w:val="Style22"/>
    <w:basedOn w:val="1"/>
    <w:uiPriority w:val="99"/>
    <w:pPr>
      <w:widowControl w:val="0"/>
      <w:autoSpaceDE w:val="0"/>
      <w:autoSpaceDN w:val="0"/>
      <w:adjustRightInd w:val="0"/>
      <w:spacing w:line="216" w:lineRule="exact"/>
      <w:ind w:firstLine="389"/>
      <w:jc w:val="both"/>
    </w:pPr>
  </w:style>
  <w:style w:type="character" w:customStyle="1" w:styleId="23">
    <w:name w:val="Font Style36"/>
    <w:qFormat/>
    <w:uiPriority w:val="99"/>
    <w:rPr>
      <w:rFonts w:ascii="Times New Roman" w:hAnsi="Times New Roman" w:cs="Times New Roman"/>
      <w:b/>
      <w:bCs/>
      <w:i/>
      <w:iCs/>
      <w:sz w:val="16"/>
      <w:szCs w:val="16"/>
    </w:rPr>
  </w:style>
  <w:style w:type="character" w:customStyle="1" w:styleId="24">
    <w:name w:val="Абзац списка Знак"/>
    <w:link w:val="20"/>
    <w:qFormat/>
    <w:locked/>
    <w:uiPriority w:val="34"/>
    <w:rPr>
      <w:rFonts w:ascii="Times New Roman" w:hAnsi="Times New Roman" w:eastAsia="Times New Roman" w:cs="Times New Roman"/>
      <w:sz w:val="24"/>
      <w:szCs w:val="24"/>
      <w:lang w:eastAsia="ru-RU"/>
    </w:rPr>
  </w:style>
  <w:style w:type="character" w:customStyle="1" w:styleId="25">
    <w:name w:val="Неразрешенное упоминание1"/>
    <w:basedOn w:val="5"/>
    <w:semiHidden/>
    <w:unhideWhenUsed/>
    <w:qFormat/>
    <w:uiPriority w:val="99"/>
    <w:rPr>
      <w:color w:val="605E5C"/>
      <w:shd w:val="clear" w:color="auto" w:fill="E1DFDD"/>
    </w:rPr>
  </w:style>
  <w:style w:type="character" w:customStyle="1" w:styleId="26">
    <w:name w:val="Верхний колонтитул Знак"/>
    <w:basedOn w:val="5"/>
    <w:link w:val="11"/>
    <w:uiPriority w:val="99"/>
    <w:rPr>
      <w:rFonts w:ascii="Times New Roman" w:hAnsi="Times New Roman" w:eastAsia="Times New Roman" w:cs="Times New Roman"/>
      <w:sz w:val="24"/>
      <w:szCs w:val="24"/>
      <w:lang w:eastAsia="ru-RU"/>
    </w:rPr>
  </w:style>
  <w:style w:type="character" w:customStyle="1" w:styleId="27">
    <w:name w:val="Нижний колонтитул Знак"/>
    <w:basedOn w:val="5"/>
    <w:link w:val="13"/>
    <w:qFormat/>
    <w:uiPriority w:val="99"/>
    <w:rPr>
      <w:rFonts w:ascii="Times New Roman" w:hAnsi="Times New Roman" w:eastAsia="Times New Roman" w:cs="Times New Roman"/>
      <w:sz w:val="24"/>
      <w:szCs w:val="24"/>
      <w:lang w:eastAsia="ru-RU"/>
    </w:rPr>
  </w:style>
  <w:style w:type="character" w:customStyle="1" w:styleId="28">
    <w:name w:val="Заголовок 1 Знак"/>
    <w:basedOn w:val="5"/>
    <w:link w:val="2"/>
    <w:uiPriority w:val="0"/>
    <w:rPr>
      <w:rFonts w:ascii="Arial" w:hAnsi="Arial" w:eastAsia="Times New Roman" w:cs="Times New Roman"/>
      <w:b/>
      <w:bCs/>
      <w:kern w:val="32"/>
      <w:sz w:val="32"/>
      <w:szCs w:val="32"/>
      <w:lang w:val="zh-CN" w:eastAsia="ru-RU"/>
    </w:rPr>
  </w:style>
  <w:style w:type="character" w:customStyle="1" w:styleId="29">
    <w:name w:val="Текст Знак"/>
    <w:basedOn w:val="5"/>
    <w:link w:val="10"/>
    <w:qFormat/>
    <w:uiPriority w:val="0"/>
    <w:rPr>
      <w:rFonts w:ascii="Courier New" w:hAnsi="Courier New" w:eastAsia="Times New Roman" w:cs="Times New Roman"/>
      <w:sz w:val="20"/>
      <w:szCs w:val="20"/>
      <w:lang w:val="zh-CN" w:eastAsia="ru-RU"/>
    </w:rPr>
  </w:style>
  <w:style w:type="character" w:customStyle="1" w:styleId="30">
    <w:name w:val="Основной текст (5)_"/>
    <w:qFormat/>
    <w:uiPriority w:val="0"/>
    <w:rPr>
      <w:rFonts w:ascii="Times New Roman" w:hAnsi="Times New Roman" w:cs="Times New Roman"/>
      <w:b/>
      <w:bCs/>
      <w:sz w:val="28"/>
      <w:szCs w:val="28"/>
      <w:u w:val="none"/>
    </w:rPr>
  </w:style>
  <w:style w:type="character" w:customStyle="1" w:styleId="31">
    <w:name w:val="fontstyle01"/>
    <w:basedOn w:val="5"/>
    <w:qFormat/>
    <w:uiPriority w:val="0"/>
    <w:rPr>
      <w:rFonts w:hint="default" w:ascii="TimesNewRomanPS-BoldMT" w:hAnsi="TimesNewRomanPS-BoldMT"/>
      <w:b/>
      <w:bCs/>
      <w:color w:val="000000"/>
      <w:sz w:val="32"/>
      <w:szCs w:val="32"/>
    </w:rPr>
  </w:style>
  <w:style w:type="paragraph" w:customStyle="1" w:styleId="32">
    <w:name w:val="ds-markdown-paragraph"/>
    <w:basedOn w:val="1"/>
    <w:qFormat/>
    <w:uiPriority w:val="0"/>
    <w:pPr>
      <w:spacing w:before="100" w:beforeAutospacing="1" w:after="100" w:afterAutospacing="1"/>
    </w:pPr>
  </w:style>
  <w:style w:type="paragraph" w:customStyle="1" w:styleId="33">
    <w:name w:val="Абзац списка1"/>
    <w:basedOn w:val="1"/>
    <w:qFormat/>
    <w:uiPriority w:val="0"/>
    <w:pPr>
      <w:suppressAutoHyphens/>
      <w:spacing w:after="200"/>
      <w:ind w:left="720"/>
      <w:contextualSpacing/>
    </w:pPr>
    <w:rPr>
      <w:rFonts w:ascii="Calibri" w:hAnsi="Calibri"/>
      <w:kern w:val="2"/>
      <w:lang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2084</Words>
  <Characters>13436</Characters>
  <Lines>118</Lines>
  <Paragraphs>33</Paragraphs>
  <TotalTime>176</TotalTime>
  <ScaleCrop>false</ScaleCrop>
  <LinksUpToDate>false</LinksUpToDate>
  <CharactersWithSpaces>15376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2026-01-14T03:53:00Z</dcterms:created>
  <dc:creator>HP</dc:creator>
  <cp:lastModifiedBy>Admin</cp:lastModifiedBy>
  <dcterms:modified xsi:type="dcterms:W3CDTF">2026-07-04T06:39:32Z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eyJoZGlkIjoiMWNhYWM4ODA4OTJiNzcyOTIwMzE5MTYyOWU2OGZhMzkiLCJ1c2VySWQiOiIxNjY2NTQzMDk4Mjc4In0=</vt:lpwstr>
  </property>
  <property fmtid="{D5CDD505-2E9C-101B-9397-08002B2CF9AE}" pid="3" name="KSOProductBuildVer">
    <vt:lpwstr>1049-12.1.0.26880</vt:lpwstr>
  </property>
  <property fmtid="{D5CDD505-2E9C-101B-9397-08002B2CF9AE}" pid="4" name="ICV">
    <vt:lpwstr>56872FA1CC5B4EDCA01BF1CF02210B99_13</vt:lpwstr>
  </property>
</Properties>
</file>